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>
          <w:rFonts w:ascii="Calibri" w:hAnsi="Calibri"/>
          <w:b/>
          <w:sz w:val="24"/>
          <w:szCs w:val="24"/>
          <w:lang w:val="hu-HU"/>
        </w:rPr>
      </w:pPr>
      <w:r>
        <w:rPr>
          <w:rFonts w:ascii="Calibri" w:hAnsi="Calibri"/>
          <w:b/>
          <w:sz w:val="24"/>
          <w:szCs w:val="24"/>
          <w:lang w:val="hu-HU"/>
        </w:rPr>
        <w:t xml:space="preserve">                               </w:t>
      </w:r>
      <w:r>
        <w:rPr>
          <w:rFonts w:ascii="Calibri" w:hAnsi="Calibri"/>
          <w:b/>
          <w:noProof/>
          <w:sz w:val="24"/>
          <w:szCs w:val="24"/>
          <w:lang w:val="hu-HU" w:eastAsia="hu-HU"/>
        </w:rPr>
        <w:drawing>
          <wp:inline distT="0" distB="0" distL="0" distR="0">
            <wp:extent cx="5760720" cy="4383929"/>
            <wp:effectExtent l="19050" t="0" r="0" b="0"/>
            <wp:docPr id="2" name="Kép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9094" t="9537" r="18301" b="57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83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sz w:val="24"/>
          <w:szCs w:val="24"/>
          <w:lang w:val="hu-HU"/>
        </w:rPr>
        <w:t xml:space="preserve">             </w:t>
      </w:r>
    </w:p>
    <w:p>
      <w:pPr>
        <w:rPr>
          <w:rFonts w:ascii="Calibri" w:hAnsi="Calibri"/>
          <w:b/>
          <w:sz w:val="24"/>
          <w:szCs w:val="24"/>
          <w:lang w:val="hu-HU"/>
        </w:rPr>
      </w:pPr>
    </w:p>
    <w:p>
      <w:pPr>
        <w:rPr>
          <w:rFonts w:ascii="Calibri" w:hAnsi="Calibri"/>
          <w:b/>
          <w:sz w:val="24"/>
          <w:szCs w:val="24"/>
          <w:lang w:val="hu-HU"/>
        </w:rPr>
      </w:pPr>
    </w:p>
    <w:p>
      <w:pPr>
        <w:rPr>
          <w:rFonts w:ascii="Calibri" w:hAnsi="Calibri"/>
          <w:b/>
          <w:sz w:val="24"/>
          <w:szCs w:val="24"/>
          <w:lang w:val="hu-HU"/>
        </w:rPr>
      </w:pPr>
    </w:p>
    <w:p>
      <w:pPr>
        <w:rPr>
          <w:rFonts w:ascii="Calibri" w:hAnsi="Calibri"/>
          <w:b/>
          <w:sz w:val="24"/>
          <w:szCs w:val="24"/>
          <w:lang w:val="hu-HU"/>
        </w:rPr>
      </w:pPr>
    </w:p>
    <w:p>
      <w:pPr>
        <w:rPr>
          <w:rFonts w:ascii="Calibri" w:hAnsi="Calibri"/>
          <w:b/>
          <w:sz w:val="24"/>
          <w:szCs w:val="24"/>
          <w:lang w:val="hu-HU"/>
        </w:rPr>
      </w:pPr>
    </w:p>
    <w:p>
      <w:pPr>
        <w:rPr>
          <w:rFonts w:ascii="Calibri" w:hAnsi="Calibri"/>
          <w:b/>
          <w:sz w:val="24"/>
          <w:szCs w:val="24"/>
          <w:lang w:val="hu-HU"/>
        </w:rPr>
      </w:pPr>
    </w:p>
    <w:p>
      <w:pPr>
        <w:rPr>
          <w:rFonts w:ascii="Calibri" w:hAnsi="Calibri"/>
          <w:b/>
          <w:sz w:val="24"/>
          <w:szCs w:val="24"/>
          <w:lang w:val="hu-HU"/>
        </w:rPr>
      </w:pPr>
    </w:p>
    <w:p>
      <w:pPr>
        <w:rPr>
          <w:rFonts w:ascii="Calibri" w:hAnsi="Calibri"/>
          <w:b/>
          <w:sz w:val="24"/>
          <w:szCs w:val="24"/>
          <w:lang w:val="hu-HU"/>
        </w:rPr>
      </w:pPr>
    </w:p>
    <w:p>
      <w:pPr>
        <w:rPr>
          <w:rFonts w:ascii="Calibri" w:hAnsi="Calibri"/>
          <w:b/>
          <w:sz w:val="24"/>
          <w:szCs w:val="24"/>
          <w:lang w:val="hu-HU"/>
        </w:rPr>
      </w:pPr>
    </w:p>
    <w:p>
      <w:pPr>
        <w:rPr>
          <w:rFonts w:ascii="Calibri" w:hAnsi="Calibri"/>
          <w:b/>
          <w:sz w:val="24"/>
          <w:szCs w:val="24"/>
          <w:lang w:val="hu-HU"/>
        </w:rPr>
      </w:pPr>
    </w:p>
    <w:p>
      <w:pPr>
        <w:rPr>
          <w:rFonts w:ascii="Calibri" w:hAnsi="Calibri"/>
          <w:b/>
          <w:sz w:val="24"/>
          <w:szCs w:val="24"/>
          <w:lang w:val="hu-HU"/>
        </w:rPr>
      </w:pPr>
    </w:p>
    <w:p>
      <w:pPr>
        <w:rPr>
          <w:rFonts w:ascii="Calibri" w:hAnsi="Calibri"/>
          <w:b/>
          <w:sz w:val="24"/>
          <w:szCs w:val="24"/>
          <w:lang w:val="hu-HU"/>
        </w:rPr>
      </w:pPr>
    </w:p>
    <w:p>
      <w:pPr>
        <w:rPr>
          <w:rFonts w:ascii="Calibri" w:hAnsi="Calibri"/>
          <w:b/>
          <w:sz w:val="24"/>
          <w:szCs w:val="24"/>
          <w:lang w:val="hu-HU"/>
        </w:rPr>
      </w:pPr>
    </w:p>
    <w:p>
      <w:pPr>
        <w:rPr>
          <w:rFonts w:ascii="Calibri" w:hAnsi="Calibri"/>
          <w:b/>
          <w:sz w:val="24"/>
          <w:szCs w:val="24"/>
          <w:lang w:val="hu-HU"/>
        </w:rPr>
      </w:pPr>
    </w:p>
    <w:p>
      <w:pPr>
        <w:rPr>
          <w:rFonts w:ascii="Calibri" w:hAnsi="Calibri"/>
          <w:b/>
          <w:sz w:val="24"/>
          <w:szCs w:val="24"/>
          <w:lang w:val="hu-HU"/>
        </w:rPr>
      </w:pPr>
      <w:r>
        <w:rPr>
          <w:rFonts w:ascii="Calibri" w:hAnsi="Calibri"/>
          <w:b/>
          <w:sz w:val="24"/>
          <w:szCs w:val="24"/>
          <w:lang w:val="hu-HU"/>
        </w:rPr>
        <w:lastRenderedPageBreak/>
        <w:t xml:space="preserve">                                          </w:t>
      </w:r>
      <w:proofErr w:type="gramStart"/>
      <w:r>
        <w:rPr>
          <w:rFonts w:ascii="Calibri" w:hAnsi="Calibri"/>
          <w:b/>
          <w:sz w:val="24"/>
          <w:szCs w:val="24"/>
          <w:lang w:val="hu-HU"/>
        </w:rPr>
        <w:t>Energia irányítás</w:t>
      </w:r>
      <w:proofErr w:type="gramEnd"/>
      <w:r>
        <w:rPr>
          <w:rFonts w:ascii="Calibri" w:hAnsi="Calibri"/>
          <w:b/>
          <w:sz w:val="24"/>
          <w:szCs w:val="24"/>
          <w:lang w:val="hu-HU"/>
        </w:rPr>
        <w:t xml:space="preserve">, elengedett kézzel                          </w:t>
      </w:r>
      <w:r>
        <w:rPr>
          <w:rFonts w:ascii="Calibri" w:hAnsi="Calibri"/>
          <w:b/>
          <w:noProof/>
          <w:sz w:val="24"/>
          <w:szCs w:val="24"/>
          <w:lang w:val="hu-HU" w:eastAsia="hu-HU"/>
        </w:rPr>
        <w:drawing>
          <wp:inline distT="0" distB="0" distL="0" distR="0">
            <wp:extent cx="972289" cy="899367"/>
            <wp:effectExtent l="19050" t="0" r="0" b="0"/>
            <wp:docPr id="1" name="Ké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289" cy="899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Calibri" w:hAnsi="Calibri"/>
          <w:sz w:val="22"/>
          <w:szCs w:val="22"/>
          <w:lang w:val="hu-HU"/>
        </w:rPr>
      </w:pPr>
      <w:r>
        <w:rPr>
          <w:rFonts w:ascii="Calibri" w:hAnsi="Calibri"/>
          <w:sz w:val="22"/>
          <w:szCs w:val="22"/>
          <w:lang w:val="hu-HU"/>
        </w:rPr>
        <w:t xml:space="preserve">                                    </w:t>
      </w:r>
      <w:proofErr w:type="gramStart"/>
      <w:r>
        <w:rPr>
          <w:rFonts w:ascii="Calibri" w:hAnsi="Calibri"/>
          <w:sz w:val="22"/>
          <w:szCs w:val="22"/>
          <w:lang w:val="hu-HU"/>
        </w:rPr>
        <w:t>a</w:t>
      </w:r>
      <w:proofErr w:type="gramEnd"/>
      <w:r>
        <w:rPr>
          <w:rFonts w:ascii="Calibri" w:hAnsi="Calibri"/>
          <w:sz w:val="22"/>
          <w:szCs w:val="22"/>
          <w:lang w:val="hu-HU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hu-HU"/>
        </w:rPr>
        <w:t>Continental</w:t>
      </w:r>
      <w:proofErr w:type="spellEnd"/>
      <w:r>
        <w:rPr>
          <w:rFonts w:ascii="Calibri" w:hAnsi="Calibri"/>
          <w:sz w:val="22"/>
          <w:szCs w:val="22"/>
          <w:lang w:val="hu-HU"/>
        </w:rPr>
        <w:t xml:space="preserve"> Automotive Kft. veszprémi gyárában</w:t>
      </w:r>
    </w:p>
    <w:p>
      <w:pPr>
        <w:jc w:val="center"/>
        <w:rPr>
          <w:rFonts w:ascii="Calibri" w:hAnsi="Calibri"/>
          <w:sz w:val="18"/>
          <w:szCs w:val="18"/>
          <w:lang w:val="hu-HU"/>
        </w:rPr>
      </w:pPr>
    </w:p>
    <w:p>
      <w:pPr>
        <w:jc w:val="center"/>
        <w:rPr>
          <w:rFonts w:ascii="Calibri" w:hAnsi="Calibri"/>
          <w:sz w:val="18"/>
          <w:szCs w:val="18"/>
          <w:lang w:val="hu-HU"/>
        </w:rPr>
      </w:pPr>
      <w:proofErr w:type="spellStart"/>
      <w:r>
        <w:rPr>
          <w:rFonts w:ascii="Calibri" w:hAnsi="Calibri"/>
          <w:sz w:val="18"/>
          <w:szCs w:val="18"/>
          <w:lang w:val="hu-HU"/>
        </w:rPr>
        <w:t>Csuport</w:t>
      </w:r>
      <w:proofErr w:type="spellEnd"/>
      <w:r>
        <w:rPr>
          <w:rFonts w:ascii="Calibri" w:hAnsi="Calibri"/>
          <w:sz w:val="18"/>
          <w:szCs w:val="18"/>
          <w:lang w:val="hu-HU"/>
        </w:rPr>
        <w:t xml:space="preserve"> </w:t>
      </w:r>
      <w:proofErr w:type="gramStart"/>
      <w:r>
        <w:rPr>
          <w:rFonts w:ascii="Calibri" w:hAnsi="Calibri"/>
          <w:sz w:val="18"/>
          <w:szCs w:val="18"/>
          <w:lang w:val="hu-HU"/>
        </w:rPr>
        <w:t>A</w:t>
      </w:r>
      <w:proofErr w:type="gramEnd"/>
      <w:r>
        <w:rPr>
          <w:rFonts w:ascii="Calibri" w:hAnsi="Calibri"/>
          <w:sz w:val="18"/>
          <w:szCs w:val="18"/>
          <w:lang w:val="hu-HU"/>
        </w:rPr>
        <w:t>.</w:t>
      </w:r>
      <w:r>
        <w:rPr>
          <w:rStyle w:val="Lbjegyzet-hivatkozs"/>
          <w:rFonts w:ascii="Calibri" w:hAnsi="Calibri"/>
          <w:sz w:val="18"/>
          <w:szCs w:val="18"/>
          <w:lang w:val="hu-HU"/>
        </w:rPr>
        <w:footnoteReference w:id="1"/>
      </w:r>
      <w:r>
        <w:rPr>
          <w:rFonts w:ascii="Calibri" w:hAnsi="Calibri"/>
          <w:sz w:val="18"/>
          <w:szCs w:val="18"/>
          <w:lang w:val="hu-HU"/>
        </w:rPr>
        <w:t xml:space="preserve">, Dömök </w:t>
      </w:r>
      <w:proofErr w:type="gramStart"/>
      <w:r>
        <w:rPr>
          <w:rFonts w:ascii="Calibri" w:hAnsi="Calibri"/>
          <w:sz w:val="18"/>
          <w:szCs w:val="18"/>
          <w:lang w:val="hu-HU"/>
        </w:rPr>
        <w:t>F</w:t>
      </w:r>
      <w:r>
        <w:rPr>
          <w:rStyle w:val="Lbjegyzet-hivatkozs"/>
          <w:rFonts w:ascii="Calibri" w:hAnsi="Calibri"/>
          <w:sz w:val="18"/>
          <w:szCs w:val="18"/>
          <w:lang w:val="hu-HU"/>
        </w:rPr>
        <w:footnoteReference w:id="2"/>
      </w:r>
      <w:r>
        <w:rPr>
          <w:rFonts w:ascii="Calibri" w:hAnsi="Calibri"/>
          <w:sz w:val="18"/>
          <w:szCs w:val="18"/>
          <w:lang w:val="hu-HU"/>
        </w:rPr>
        <w:t>.</w:t>
      </w:r>
      <w:proofErr w:type="gramEnd"/>
      <w:r>
        <w:rPr>
          <w:rFonts w:ascii="Calibri" w:hAnsi="Calibri"/>
          <w:sz w:val="18"/>
          <w:szCs w:val="18"/>
          <w:lang w:val="hu-HU"/>
        </w:rPr>
        <w:t xml:space="preserve">, </w:t>
      </w:r>
      <w:proofErr w:type="spellStart"/>
      <w:r>
        <w:rPr>
          <w:rFonts w:ascii="Calibri" w:hAnsi="Calibri"/>
          <w:sz w:val="18"/>
          <w:szCs w:val="18"/>
          <w:lang w:val="hu-HU"/>
        </w:rPr>
        <w:t>Harazin</w:t>
      </w:r>
      <w:proofErr w:type="spellEnd"/>
      <w:r>
        <w:rPr>
          <w:rFonts w:ascii="Calibri" w:hAnsi="Calibri"/>
          <w:sz w:val="18"/>
          <w:szCs w:val="18"/>
          <w:lang w:val="hu-HU"/>
        </w:rPr>
        <w:t>, T.</w:t>
      </w:r>
      <w:r>
        <w:rPr>
          <w:rStyle w:val="Lbjegyzet-hivatkozs"/>
          <w:rFonts w:ascii="Calibri" w:hAnsi="Calibri"/>
          <w:sz w:val="18"/>
          <w:szCs w:val="18"/>
          <w:lang w:val="hu-HU"/>
        </w:rPr>
        <w:footnoteReference w:id="3"/>
      </w:r>
      <w:r>
        <w:rPr>
          <w:rFonts w:ascii="Calibri" w:hAnsi="Calibri"/>
          <w:sz w:val="18"/>
          <w:szCs w:val="18"/>
          <w:lang w:val="hu-HU"/>
        </w:rPr>
        <w:t>, Köteles G.</w:t>
      </w:r>
      <w:r>
        <w:rPr>
          <w:rStyle w:val="Lbjegyzet-hivatkozs"/>
          <w:rFonts w:ascii="Calibri" w:hAnsi="Calibri"/>
          <w:sz w:val="18"/>
          <w:szCs w:val="18"/>
          <w:lang w:val="hu-HU"/>
        </w:rPr>
        <w:footnoteReference w:id="4"/>
      </w:r>
    </w:p>
    <w:p>
      <w:pPr>
        <w:rPr>
          <w:rFonts w:ascii="Calibri" w:hAnsi="Calibri"/>
          <w:sz w:val="22"/>
          <w:szCs w:val="22"/>
          <w:lang w:val="hu-HU"/>
        </w:rPr>
      </w:pPr>
    </w:p>
    <w:p>
      <w:pPr>
        <w:rPr>
          <w:rFonts w:ascii="Calibri" w:hAnsi="Calibri"/>
          <w:sz w:val="22"/>
          <w:szCs w:val="22"/>
          <w:lang w:val="hu-HU"/>
        </w:rPr>
      </w:pPr>
    </w:p>
    <w:p>
      <w:pPr>
        <w:rPr>
          <w:rFonts w:ascii="Calibri" w:hAnsi="Calibri"/>
          <w:sz w:val="22"/>
          <w:szCs w:val="22"/>
          <w:lang w:val="hu-HU"/>
        </w:rPr>
      </w:pPr>
      <w:r>
        <w:rPr>
          <w:rFonts w:ascii="Calibri" w:hAnsi="Calibri"/>
          <w:sz w:val="22"/>
          <w:szCs w:val="22"/>
          <w:lang w:val="hu-HU"/>
        </w:rPr>
        <w:t xml:space="preserve">A </w:t>
      </w:r>
      <w:proofErr w:type="spellStart"/>
      <w:r>
        <w:rPr>
          <w:rFonts w:ascii="Calibri" w:hAnsi="Calibri"/>
          <w:sz w:val="22"/>
          <w:szCs w:val="22"/>
          <w:lang w:val="hu-HU"/>
        </w:rPr>
        <w:t>Continental</w:t>
      </w:r>
      <w:proofErr w:type="spellEnd"/>
      <w:r>
        <w:rPr>
          <w:rFonts w:ascii="Calibri" w:hAnsi="Calibri"/>
          <w:sz w:val="22"/>
          <w:szCs w:val="22"/>
          <w:lang w:val="hu-HU"/>
        </w:rPr>
        <w:t xml:space="preserve"> Automotive Kft. azon ritka vállalatok egyike, amelyek nem vettek igénybe tanácsadói szolgáltatást az MSZ EN ISO 50001:2012 szerinti energia irányítási rendszer kiépítéséhez és működt</w:t>
      </w:r>
      <w:r>
        <w:rPr>
          <w:rFonts w:ascii="Calibri" w:hAnsi="Calibri"/>
          <w:sz w:val="22"/>
          <w:szCs w:val="22"/>
          <w:lang w:val="hu-HU"/>
        </w:rPr>
        <w:t>e</w:t>
      </w:r>
      <w:r>
        <w:rPr>
          <w:rFonts w:ascii="Calibri" w:hAnsi="Calibri"/>
          <w:sz w:val="22"/>
          <w:szCs w:val="22"/>
          <w:lang w:val="hu-HU"/>
        </w:rPr>
        <w:t xml:space="preserve">téséhez. Ennek oka a felső vezetés teljes körű elkötelezettségében, és az energia irányítási </w:t>
      </w:r>
      <w:proofErr w:type="gramStart"/>
      <w:r>
        <w:rPr>
          <w:rFonts w:ascii="Calibri" w:hAnsi="Calibri"/>
          <w:sz w:val="22"/>
          <w:szCs w:val="22"/>
          <w:lang w:val="hu-HU"/>
        </w:rPr>
        <w:t>csoport  szakmai</w:t>
      </w:r>
      <w:proofErr w:type="gramEnd"/>
      <w:r>
        <w:rPr>
          <w:rFonts w:ascii="Calibri" w:hAnsi="Calibri"/>
          <w:sz w:val="22"/>
          <w:szCs w:val="22"/>
          <w:lang w:val="hu-HU"/>
        </w:rPr>
        <w:t xml:space="preserve"> kompetenciájában keresendő. A rendszerfejlesztés már a szabvány hazai adaptálásának év</w:t>
      </w:r>
      <w:r>
        <w:rPr>
          <w:rFonts w:ascii="Calibri" w:hAnsi="Calibri"/>
          <w:sz w:val="22"/>
          <w:szCs w:val="22"/>
          <w:lang w:val="hu-HU"/>
        </w:rPr>
        <w:t>é</w:t>
      </w:r>
      <w:r>
        <w:rPr>
          <w:rFonts w:ascii="Calibri" w:hAnsi="Calibri"/>
          <w:sz w:val="22"/>
          <w:szCs w:val="22"/>
          <w:lang w:val="hu-HU"/>
        </w:rPr>
        <w:t xml:space="preserve">ben, 2011-ben elkezdődött, jóval korábban, mint hogy a vonatkozó </w:t>
      </w:r>
      <w:proofErr w:type="spellStart"/>
      <w:r>
        <w:rPr>
          <w:rFonts w:ascii="Calibri" w:hAnsi="Calibri"/>
          <w:sz w:val="22"/>
          <w:szCs w:val="22"/>
          <w:lang w:val="hu-HU"/>
        </w:rPr>
        <w:t>corporate</w:t>
      </w:r>
      <w:proofErr w:type="spellEnd"/>
      <w:r>
        <w:rPr>
          <w:rFonts w:ascii="Calibri" w:hAnsi="Calibri"/>
          <w:sz w:val="22"/>
          <w:szCs w:val="22"/>
          <w:lang w:val="hu-HU"/>
        </w:rPr>
        <w:t xml:space="preserve"> szintű előirán</w:t>
      </w:r>
      <w:r>
        <w:rPr>
          <w:rFonts w:ascii="Calibri" w:hAnsi="Calibri"/>
          <w:sz w:val="22"/>
          <w:szCs w:val="22"/>
          <w:lang w:val="hu-HU"/>
        </w:rPr>
        <w:t>y</w:t>
      </w:r>
      <w:r>
        <w:rPr>
          <w:rFonts w:ascii="Calibri" w:hAnsi="Calibri"/>
          <w:sz w:val="22"/>
          <w:szCs w:val="22"/>
          <w:lang w:val="hu-HU"/>
        </w:rPr>
        <w:t xml:space="preserve">zatok napvilágot láttak volna. Már a kezdetekben is rendszeresek voltak a </w:t>
      </w:r>
      <w:proofErr w:type="gramStart"/>
      <w:r>
        <w:rPr>
          <w:rFonts w:ascii="Calibri" w:hAnsi="Calibri"/>
          <w:sz w:val="22"/>
          <w:szCs w:val="22"/>
          <w:lang w:val="hu-HU"/>
        </w:rPr>
        <w:t>munkacsoport ülések</w:t>
      </w:r>
      <w:proofErr w:type="gramEnd"/>
      <w:r>
        <w:rPr>
          <w:rFonts w:ascii="Calibri" w:hAnsi="Calibri"/>
          <w:sz w:val="22"/>
          <w:szCs w:val="22"/>
          <w:lang w:val="hu-HU"/>
        </w:rPr>
        <w:t>, n</w:t>
      </w:r>
      <w:r>
        <w:rPr>
          <w:rFonts w:ascii="Calibri" w:hAnsi="Calibri"/>
          <w:sz w:val="22"/>
          <w:szCs w:val="22"/>
          <w:lang w:val="hu-HU"/>
        </w:rPr>
        <w:t>o</w:t>
      </w:r>
      <w:r>
        <w:rPr>
          <w:rFonts w:ascii="Calibri" w:hAnsi="Calibri"/>
          <w:sz w:val="22"/>
          <w:szCs w:val="22"/>
          <w:lang w:val="hu-HU"/>
        </w:rPr>
        <w:t>ha az első formális kinevezések csak 2015-ben születtek meg. Mára az energia irányítási feladatokért fel</w:t>
      </w:r>
      <w:r>
        <w:rPr>
          <w:rFonts w:ascii="Calibri" w:hAnsi="Calibri"/>
          <w:sz w:val="22"/>
          <w:szCs w:val="22"/>
          <w:lang w:val="hu-HU"/>
        </w:rPr>
        <w:t>e</w:t>
      </w:r>
      <w:r>
        <w:rPr>
          <w:rFonts w:ascii="Calibri" w:hAnsi="Calibri"/>
          <w:sz w:val="22"/>
          <w:szCs w:val="22"/>
          <w:lang w:val="hu-HU"/>
        </w:rPr>
        <w:t>lős team létszáma elérte a 14 főt, az egyes szabályozók aktív, mért és dokumentált alkalmazás</w:t>
      </w:r>
      <w:r>
        <w:rPr>
          <w:rFonts w:ascii="Calibri" w:hAnsi="Calibri"/>
          <w:sz w:val="22"/>
          <w:szCs w:val="22"/>
          <w:lang w:val="hu-HU"/>
        </w:rPr>
        <w:t>á</w:t>
      </w:r>
      <w:r>
        <w:rPr>
          <w:rFonts w:ascii="Calibri" w:hAnsi="Calibri"/>
          <w:sz w:val="22"/>
          <w:szCs w:val="22"/>
          <w:lang w:val="hu-HU"/>
        </w:rPr>
        <w:t>nak gyakorlata pedig a szervezet minden szintjébe beivódott. A szervezeti felépítést, azon belül pedig a munkacsoport elhelyezkedését az</w:t>
      </w:r>
      <w:r>
        <w:rPr>
          <w:rFonts w:ascii="Calibri" w:hAnsi="Calibri"/>
          <w:b/>
          <w:sz w:val="22"/>
          <w:szCs w:val="22"/>
          <w:lang w:val="hu-HU"/>
        </w:rPr>
        <w:t xml:space="preserve"> </w:t>
      </w:r>
      <w:fldSimple w:instr=" REF _Ref443328600 \h  \* MERGEFORMAT ">
        <w:r>
          <w:rPr>
            <w:rFonts w:ascii="Calibri" w:hAnsi="Calibri"/>
            <w:b/>
            <w:noProof/>
            <w:sz w:val="22"/>
            <w:szCs w:val="22"/>
            <w:lang w:val="hu-HU"/>
          </w:rPr>
          <w:t>1</w:t>
        </w:r>
        <w:r>
          <w:rPr>
            <w:rFonts w:ascii="Calibri" w:hAnsi="Calibri"/>
            <w:b/>
            <w:sz w:val="22"/>
            <w:szCs w:val="22"/>
            <w:lang w:val="hu-HU"/>
          </w:rPr>
          <w:t>. ábra</w:t>
        </w:r>
      </w:fldSimple>
      <w:r>
        <w:rPr>
          <w:rFonts w:ascii="Calibri" w:hAnsi="Calibri"/>
          <w:sz w:val="22"/>
          <w:szCs w:val="22"/>
          <w:lang w:val="hu-HU"/>
        </w:rPr>
        <w:t xml:space="preserve"> mutatja be.</w:t>
      </w:r>
    </w:p>
    <w:p>
      <w:pPr>
        <w:rPr>
          <w:rFonts w:ascii="Calibri" w:hAnsi="Calibri"/>
          <w:sz w:val="22"/>
          <w:szCs w:val="22"/>
          <w:lang w:val="hu-HU"/>
        </w:rPr>
      </w:pPr>
    </w:p>
    <w:p>
      <w:pPr>
        <w:rPr>
          <w:rFonts w:ascii="Calibri" w:hAnsi="Calibri"/>
          <w:sz w:val="22"/>
          <w:szCs w:val="22"/>
          <w:lang w:val="hu-HU"/>
        </w:rPr>
      </w:pPr>
    </w:p>
    <w:p>
      <w:pPr>
        <w:rPr>
          <w:rFonts w:ascii="Calibri" w:hAnsi="Calibri"/>
          <w:sz w:val="22"/>
          <w:szCs w:val="22"/>
          <w:lang w:val="hu-HU"/>
        </w:rPr>
      </w:pPr>
      <w:r>
        <w:rPr>
          <w:noProof/>
          <w:szCs w:val="22"/>
          <w:lang w:val="hu-HU" w:eastAsia="hu-HU"/>
        </w:rPr>
        <w:drawing>
          <wp:inline distT="0" distB="0" distL="0" distR="0">
            <wp:extent cx="5950585" cy="3084195"/>
            <wp:effectExtent l="19050" t="0" r="0" b="0"/>
            <wp:docPr id="18" name="Kép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585" cy="308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Calibri" w:hAnsi="Calibri"/>
          <w:sz w:val="22"/>
          <w:szCs w:val="22"/>
          <w:lang w:val="hu-HU"/>
        </w:rPr>
      </w:pPr>
    </w:p>
    <w:bookmarkStart w:id="0" w:name="_Ref443328600"/>
    <w:p>
      <w:pPr>
        <w:pStyle w:val="Kpalrs"/>
        <w:jc w:val="center"/>
        <w:rPr>
          <w:rFonts w:ascii="Calibri" w:hAnsi="Calibri"/>
          <w:lang w:val="hu-HU"/>
        </w:rPr>
      </w:pPr>
      <w:r>
        <w:rPr>
          <w:rFonts w:ascii="Calibri" w:hAnsi="Calibri"/>
          <w:lang w:val="hu-HU"/>
        </w:rPr>
        <w:fldChar w:fldCharType="begin"/>
      </w:r>
      <w:r>
        <w:rPr>
          <w:rFonts w:ascii="Calibri" w:hAnsi="Calibri"/>
          <w:lang w:val="hu-HU"/>
        </w:rPr>
        <w:instrText xml:space="preserve"> SEQ ábra \* ARABIC </w:instrText>
      </w:r>
      <w:r>
        <w:rPr>
          <w:rFonts w:ascii="Calibri" w:hAnsi="Calibri"/>
          <w:lang w:val="hu-HU"/>
        </w:rPr>
        <w:fldChar w:fldCharType="separate"/>
      </w:r>
      <w:r>
        <w:rPr>
          <w:rFonts w:ascii="Calibri" w:hAnsi="Calibri"/>
          <w:noProof/>
          <w:lang w:val="hu-HU"/>
        </w:rPr>
        <w:t>1</w:t>
      </w:r>
      <w:r>
        <w:rPr>
          <w:rFonts w:ascii="Calibri" w:hAnsi="Calibri"/>
          <w:lang w:val="hu-HU"/>
        </w:rPr>
        <w:fldChar w:fldCharType="end"/>
      </w:r>
      <w:r>
        <w:rPr>
          <w:rFonts w:ascii="Calibri" w:hAnsi="Calibri"/>
          <w:lang w:val="en-US"/>
        </w:rPr>
        <w:t xml:space="preserve">. </w:t>
      </w:r>
      <w:proofErr w:type="spellStart"/>
      <w:r>
        <w:rPr>
          <w:rFonts w:ascii="Calibri" w:hAnsi="Calibri"/>
          <w:lang w:val="en-US"/>
        </w:rPr>
        <w:t>ábra</w:t>
      </w:r>
      <w:bookmarkEnd w:id="0"/>
      <w:proofErr w:type="spellEnd"/>
      <w:r>
        <w:rPr>
          <w:rFonts w:ascii="Calibri" w:hAnsi="Calibri"/>
          <w:lang w:val="en-US"/>
        </w:rPr>
        <w:t xml:space="preserve">: </w:t>
      </w:r>
      <w:r>
        <w:rPr>
          <w:rFonts w:ascii="Calibri" w:hAnsi="Calibri"/>
          <w:b w:val="0"/>
          <w:lang w:val="en-US"/>
        </w:rPr>
        <w:t xml:space="preserve">A Continental Automotive </w:t>
      </w:r>
      <w:proofErr w:type="spellStart"/>
      <w:r>
        <w:rPr>
          <w:rFonts w:ascii="Calibri" w:hAnsi="Calibri"/>
          <w:b w:val="0"/>
          <w:lang w:val="en-US"/>
        </w:rPr>
        <w:t>Kft</w:t>
      </w:r>
      <w:proofErr w:type="spellEnd"/>
      <w:r>
        <w:rPr>
          <w:rFonts w:ascii="Calibri" w:hAnsi="Calibri"/>
          <w:b w:val="0"/>
          <w:lang w:val="en-US"/>
        </w:rPr>
        <w:t xml:space="preserve">. </w:t>
      </w:r>
      <w:proofErr w:type="spellStart"/>
      <w:r>
        <w:rPr>
          <w:rFonts w:ascii="Calibri" w:hAnsi="Calibri"/>
          <w:b w:val="0"/>
          <w:lang w:val="en-US"/>
        </w:rPr>
        <w:t>veszprémi</w:t>
      </w:r>
      <w:proofErr w:type="spellEnd"/>
      <w:r>
        <w:rPr>
          <w:rFonts w:ascii="Calibri" w:hAnsi="Calibri"/>
          <w:b w:val="0"/>
          <w:lang w:val="en-US"/>
        </w:rPr>
        <w:t xml:space="preserve"> </w:t>
      </w:r>
      <w:proofErr w:type="spellStart"/>
      <w:r>
        <w:rPr>
          <w:rFonts w:ascii="Calibri" w:hAnsi="Calibri"/>
          <w:b w:val="0"/>
          <w:lang w:val="en-US"/>
        </w:rPr>
        <w:t>üzemegységének</w:t>
      </w:r>
      <w:proofErr w:type="spellEnd"/>
      <w:r>
        <w:rPr>
          <w:rFonts w:ascii="Calibri" w:hAnsi="Calibri"/>
          <w:b w:val="0"/>
          <w:lang w:val="en-US"/>
        </w:rPr>
        <w:t xml:space="preserve"> </w:t>
      </w:r>
      <w:proofErr w:type="spellStart"/>
      <w:r>
        <w:rPr>
          <w:rFonts w:ascii="Calibri" w:hAnsi="Calibri"/>
          <w:b w:val="0"/>
          <w:lang w:val="en-US"/>
        </w:rPr>
        <w:t>organigramja</w:t>
      </w:r>
      <w:proofErr w:type="spellEnd"/>
    </w:p>
    <w:p>
      <w:pPr>
        <w:rPr>
          <w:rFonts w:ascii="Calibri" w:hAnsi="Calibri"/>
          <w:sz w:val="22"/>
          <w:szCs w:val="22"/>
          <w:lang w:val="hu-HU"/>
        </w:rPr>
      </w:pPr>
    </w:p>
    <w:p>
      <w:pPr>
        <w:rPr>
          <w:rFonts w:ascii="Calibri" w:hAnsi="Calibri"/>
          <w:sz w:val="22"/>
          <w:szCs w:val="22"/>
          <w:lang w:val="hu-HU"/>
        </w:rPr>
      </w:pPr>
    </w:p>
    <w:p>
      <w:pPr>
        <w:jc w:val="right"/>
        <w:rPr>
          <w:rFonts w:ascii="Calibri" w:hAnsi="Calibri"/>
          <w:sz w:val="22"/>
          <w:szCs w:val="22"/>
          <w:lang w:val="hu-HU"/>
        </w:rPr>
      </w:pPr>
      <w:r>
        <w:rPr>
          <w:rFonts w:ascii="Calibri" w:hAnsi="Calibri"/>
          <w:sz w:val="22"/>
          <w:szCs w:val="22"/>
          <w:lang w:val="hu-HU"/>
        </w:rPr>
        <w:lastRenderedPageBreak/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Calibri" w:hAnsi="Calibri"/>
          <w:noProof/>
          <w:sz w:val="22"/>
          <w:szCs w:val="22"/>
          <w:lang w:val="hu-HU" w:eastAsia="hu-HU"/>
        </w:rPr>
        <w:drawing>
          <wp:inline distT="0" distB="0" distL="0" distR="0">
            <wp:extent cx="1009934" cy="893928"/>
            <wp:effectExtent l="19050" t="0" r="0" b="0"/>
            <wp:docPr id="3" name="Ké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79" cy="899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Calibri" w:hAnsi="Calibri"/>
          <w:sz w:val="22"/>
          <w:szCs w:val="22"/>
          <w:lang w:val="hu-HU"/>
        </w:rPr>
      </w:pPr>
      <w:r>
        <w:rPr>
          <w:rFonts w:ascii="Calibri" w:hAnsi="Calibri"/>
          <w:sz w:val="22"/>
          <w:szCs w:val="22"/>
          <w:lang w:val="hu-HU"/>
        </w:rPr>
        <w:t xml:space="preserve">Ez az önszerveződő folyamat csak úgy lehetett sikeres, hogy az operatív felelősök szakmai ambíciói, hozzáértése és tenni akarása találkozott a felső vezetés környezet- és klímatudatos gazdálkodásról alkotott elképzeléseivel. Ahogy mondani szokás: „ </w:t>
      </w:r>
      <w:proofErr w:type="gramStart"/>
      <w:r>
        <w:rPr>
          <w:rFonts w:ascii="Calibri" w:hAnsi="Calibri"/>
          <w:sz w:val="22"/>
          <w:szCs w:val="22"/>
          <w:lang w:val="hu-HU"/>
        </w:rPr>
        <w:t>A</w:t>
      </w:r>
      <w:proofErr w:type="gramEnd"/>
      <w:r>
        <w:rPr>
          <w:rFonts w:ascii="Calibri" w:hAnsi="Calibri"/>
          <w:sz w:val="22"/>
          <w:szCs w:val="22"/>
          <w:lang w:val="hu-HU"/>
        </w:rPr>
        <w:t xml:space="preserve"> jó gazda szeme </w:t>
      </w:r>
      <w:proofErr w:type="spellStart"/>
      <w:r>
        <w:rPr>
          <w:rFonts w:ascii="Calibri" w:hAnsi="Calibri"/>
          <w:sz w:val="22"/>
          <w:szCs w:val="22"/>
          <w:lang w:val="hu-HU"/>
        </w:rPr>
        <w:t>hízlalta</w:t>
      </w:r>
      <w:proofErr w:type="spellEnd"/>
      <w:r>
        <w:rPr>
          <w:rFonts w:ascii="Calibri" w:hAnsi="Calibri"/>
          <w:sz w:val="22"/>
          <w:szCs w:val="22"/>
          <w:lang w:val="hu-HU"/>
        </w:rPr>
        <w:t xml:space="preserve"> a jószágot.”</w:t>
      </w:r>
    </w:p>
    <w:p>
      <w:pPr>
        <w:rPr>
          <w:rFonts w:ascii="Calibri" w:hAnsi="Calibri"/>
          <w:sz w:val="22"/>
          <w:szCs w:val="22"/>
          <w:lang w:val="hu-HU"/>
        </w:rPr>
      </w:pPr>
      <w:r>
        <w:rPr>
          <w:rFonts w:ascii="Calibri" w:hAnsi="Calibri"/>
          <w:sz w:val="22"/>
          <w:szCs w:val="22"/>
          <w:lang w:val="hu-HU"/>
        </w:rPr>
        <w:t xml:space="preserve">Idővel a </w:t>
      </w:r>
      <w:proofErr w:type="spellStart"/>
      <w:r>
        <w:rPr>
          <w:rFonts w:ascii="Calibri" w:hAnsi="Calibri"/>
          <w:sz w:val="22"/>
          <w:szCs w:val="22"/>
          <w:lang w:val="hu-HU"/>
        </w:rPr>
        <w:t>Continental</w:t>
      </w:r>
      <w:proofErr w:type="spellEnd"/>
      <w:r>
        <w:rPr>
          <w:rFonts w:ascii="Calibri" w:hAnsi="Calibri"/>
          <w:sz w:val="22"/>
          <w:szCs w:val="22"/>
          <w:lang w:val="hu-HU"/>
        </w:rPr>
        <w:t xml:space="preserve"> központjában is megfogalmazódtak, és minden üzemegység felé delegálásra kerültek az energiagazdálkodás fejlesztését szolgáló célelőirányzatok, az ezeknek való megfelelés azonban a veszprémi gyár esetében már nem volt kérdés. Az kérdés igazából az volt, hogy hogyan, és milyen mértékben szárnyalják túl az elvárásokat. </w:t>
      </w:r>
    </w:p>
    <w:p>
      <w:pPr>
        <w:rPr>
          <w:rFonts w:ascii="Calibri" w:hAnsi="Calibri"/>
          <w:sz w:val="22"/>
          <w:szCs w:val="22"/>
          <w:lang w:val="hu-HU"/>
        </w:rPr>
      </w:pPr>
      <w:r>
        <w:rPr>
          <w:rFonts w:ascii="Calibri" w:hAnsi="Calibri"/>
          <w:sz w:val="22"/>
          <w:szCs w:val="22"/>
          <w:lang w:val="hu-HU"/>
        </w:rPr>
        <w:t>A rendszer kiépítése a kezdeti lépésektől a sikeres tanúsító auditig – időrendben – az alábbi mérföl</w:t>
      </w:r>
      <w:r>
        <w:rPr>
          <w:rFonts w:ascii="Calibri" w:hAnsi="Calibri"/>
          <w:sz w:val="22"/>
          <w:szCs w:val="22"/>
          <w:lang w:val="hu-HU"/>
        </w:rPr>
        <w:t>d</w:t>
      </w:r>
      <w:r>
        <w:rPr>
          <w:rFonts w:ascii="Calibri" w:hAnsi="Calibri"/>
          <w:sz w:val="22"/>
          <w:szCs w:val="22"/>
          <w:lang w:val="hu-HU"/>
        </w:rPr>
        <w:t>kövekből állt:</w:t>
      </w:r>
    </w:p>
    <w:p>
      <w:pPr>
        <w:pStyle w:val="Listaszerbekezds"/>
        <w:ind w:left="360"/>
        <w:rPr>
          <w:rFonts w:ascii="Calibri" w:hAnsi="Calibri"/>
          <w:sz w:val="22"/>
          <w:szCs w:val="22"/>
          <w:lang w:val="hu-HU"/>
        </w:rPr>
      </w:pPr>
    </w:p>
    <w:p>
      <w:pPr>
        <w:pStyle w:val="Listaszerbekezds"/>
        <w:numPr>
          <w:ilvl w:val="0"/>
          <w:numId w:val="12"/>
        </w:numPr>
        <w:rPr>
          <w:rFonts w:ascii="Calibri" w:hAnsi="Calibri"/>
          <w:sz w:val="22"/>
          <w:szCs w:val="22"/>
          <w:lang w:val="hu-HU"/>
        </w:rPr>
      </w:pPr>
      <w:r>
        <w:rPr>
          <w:rFonts w:ascii="Calibri" w:hAnsi="Calibri"/>
          <w:sz w:val="22"/>
          <w:szCs w:val="22"/>
          <w:lang w:val="hu-HU"/>
        </w:rPr>
        <w:t>2011 04.-  A vállalat helyi vezetésének elkötelezettsége</w:t>
      </w:r>
    </w:p>
    <w:p>
      <w:pPr>
        <w:pStyle w:val="Listaszerbekezds"/>
        <w:numPr>
          <w:ilvl w:val="0"/>
          <w:numId w:val="12"/>
        </w:numPr>
        <w:rPr>
          <w:rFonts w:ascii="Calibri" w:hAnsi="Calibri"/>
          <w:sz w:val="22"/>
          <w:szCs w:val="22"/>
          <w:lang w:val="hu-HU"/>
        </w:rPr>
      </w:pPr>
      <w:r>
        <w:rPr>
          <w:rFonts w:ascii="Calibri" w:hAnsi="Calibri"/>
          <w:sz w:val="22"/>
          <w:szCs w:val="22"/>
          <w:lang w:val="hu-HU"/>
        </w:rPr>
        <w:t xml:space="preserve">2012.01. – Az Energia Menedzsment team létrehozása </w:t>
      </w:r>
    </w:p>
    <w:p>
      <w:pPr>
        <w:pStyle w:val="Listaszerbekezds"/>
        <w:numPr>
          <w:ilvl w:val="0"/>
          <w:numId w:val="12"/>
        </w:numPr>
        <w:rPr>
          <w:rFonts w:ascii="Calibri" w:hAnsi="Calibri"/>
          <w:sz w:val="22"/>
          <w:szCs w:val="22"/>
          <w:lang w:val="hu-HU"/>
        </w:rPr>
      </w:pPr>
      <w:r>
        <w:rPr>
          <w:rFonts w:ascii="Calibri" w:hAnsi="Calibri"/>
          <w:sz w:val="22"/>
          <w:szCs w:val="22"/>
          <w:lang w:val="hu-HU"/>
        </w:rPr>
        <w:t>2012.03. – A team tagjainak képzése</w:t>
      </w:r>
    </w:p>
    <w:p>
      <w:pPr>
        <w:pStyle w:val="Listaszerbekezds"/>
        <w:numPr>
          <w:ilvl w:val="0"/>
          <w:numId w:val="12"/>
        </w:numPr>
        <w:rPr>
          <w:rFonts w:ascii="Calibri" w:hAnsi="Calibri"/>
          <w:sz w:val="22"/>
          <w:szCs w:val="22"/>
          <w:lang w:val="hu-HU"/>
        </w:rPr>
      </w:pPr>
      <w:r>
        <w:rPr>
          <w:rFonts w:ascii="Calibri" w:hAnsi="Calibri"/>
          <w:sz w:val="22"/>
          <w:szCs w:val="22"/>
          <w:lang w:val="hu-HU"/>
        </w:rPr>
        <w:t>2013.01. – Operatív, ütemezett beruházások meghatározása</w:t>
      </w:r>
    </w:p>
    <w:p>
      <w:pPr>
        <w:pStyle w:val="Listaszerbekezds"/>
        <w:numPr>
          <w:ilvl w:val="0"/>
          <w:numId w:val="12"/>
        </w:numPr>
        <w:jc w:val="left"/>
        <w:rPr>
          <w:rFonts w:ascii="Calibri" w:hAnsi="Calibri"/>
          <w:sz w:val="22"/>
          <w:szCs w:val="22"/>
          <w:lang w:val="hu-HU"/>
        </w:rPr>
      </w:pPr>
      <w:r>
        <w:rPr>
          <w:rFonts w:ascii="Calibri" w:hAnsi="Calibri"/>
          <w:sz w:val="22"/>
          <w:szCs w:val="22"/>
          <w:lang w:val="hu-HU"/>
        </w:rPr>
        <w:t xml:space="preserve">2013.06-   A beruházások megkezdése prioritás alapján </w:t>
      </w:r>
    </w:p>
    <w:p>
      <w:pPr>
        <w:pStyle w:val="Listaszerbekezds"/>
        <w:numPr>
          <w:ilvl w:val="0"/>
          <w:numId w:val="12"/>
        </w:numPr>
        <w:rPr>
          <w:rFonts w:ascii="Calibri" w:hAnsi="Calibri"/>
          <w:sz w:val="22"/>
          <w:szCs w:val="22"/>
          <w:lang w:val="hu-HU"/>
        </w:rPr>
      </w:pPr>
      <w:r>
        <w:rPr>
          <w:rFonts w:ascii="Calibri" w:hAnsi="Calibri"/>
          <w:sz w:val="22"/>
          <w:szCs w:val="22"/>
          <w:lang w:val="hu-HU"/>
        </w:rPr>
        <w:t>2013.09. – A vállalat dolgozóinak bevonása a hatékony energia felhasználás érdekében</w:t>
      </w:r>
    </w:p>
    <w:p>
      <w:pPr>
        <w:pStyle w:val="Listaszerbekezds"/>
        <w:numPr>
          <w:ilvl w:val="0"/>
          <w:numId w:val="12"/>
        </w:numPr>
        <w:rPr>
          <w:rFonts w:ascii="Calibri" w:hAnsi="Calibri"/>
          <w:sz w:val="22"/>
          <w:szCs w:val="22"/>
          <w:lang w:val="hu-HU"/>
        </w:rPr>
      </w:pPr>
      <w:r>
        <w:rPr>
          <w:rFonts w:ascii="Calibri" w:hAnsi="Calibri"/>
          <w:sz w:val="22"/>
          <w:szCs w:val="22"/>
          <w:lang w:val="hu-HU"/>
        </w:rPr>
        <w:t xml:space="preserve">2014.01. – A vállalat vezetésének megerősített elkötelezettsége a </w:t>
      </w:r>
      <w:proofErr w:type="spellStart"/>
      <w:r>
        <w:rPr>
          <w:rFonts w:ascii="Calibri" w:hAnsi="Calibri"/>
          <w:sz w:val="22"/>
          <w:szCs w:val="22"/>
          <w:lang w:val="hu-HU"/>
        </w:rPr>
        <w:t>Corporate</w:t>
      </w:r>
      <w:proofErr w:type="spellEnd"/>
      <w:r>
        <w:rPr>
          <w:rFonts w:ascii="Calibri" w:hAnsi="Calibri"/>
          <w:sz w:val="22"/>
          <w:szCs w:val="22"/>
          <w:lang w:val="hu-HU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hu-HU"/>
        </w:rPr>
        <w:t>Energy</w:t>
      </w:r>
      <w:proofErr w:type="spellEnd"/>
      <w:r>
        <w:rPr>
          <w:rFonts w:ascii="Calibri" w:hAnsi="Calibri"/>
          <w:sz w:val="22"/>
          <w:szCs w:val="22"/>
          <w:lang w:val="hu-HU"/>
        </w:rPr>
        <w:t xml:space="preserve"> Policy publikálásával</w:t>
      </w:r>
    </w:p>
    <w:p>
      <w:pPr>
        <w:pStyle w:val="Listaszerbekezds"/>
        <w:numPr>
          <w:ilvl w:val="0"/>
          <w:numId w:val="12"/>
        </w:numPr>
        <w:rPr>
          <w:rFonts w:ascii="Calibri" w:hAnsi="Calibri"/>
          <w:sz w:val="22"/>
          <w:szCs w:val="22"/>
          <w:lang w:val="hu-HU"/>
        </w:rPr>
      </w:pPr>
      <w:r>
        <w:rPr>
          <w:rFonts w:ascii="Calibri" w:hAnsi="Calibri"/>
          <w:sz w:val="22"/>
          <w:szCs w:val="22"/>
          <w:lang w:val="hu-HU"/>
        </w:rPr>
        <w:t>2014.04. – Teljes körű energia átvizsgálás, állapotrögzítés, MSZ EN 16247 szerint</w:t>
      </w:r>
    </w:p>
    <w:p>
      <w:pPr>
        <w:pStyle w:val="Listaszerbekezds"/>
        <w:numPr>
          <w:ilvl w:val="0"/>
          <w:numId w:val="12"/>
        </w:numPr>
        <w:rPr>
          <w:rFonts w:ascii="Calibri" w:hAnsi="Calibri"/>
          <w:sz w:val="22"/>
          <w:szCs w:val="22"/>
          <w:lang w:val="hu-HU"/>
        </w:rPr>
      </w:pPr>
      <w:r>
        <w:rPr>
          <w:rFonts w:ascii="Calibri" w:hAnsi="Calibri"/>
          <w:sz w:val="22"/>
          <w:szCs w:val="22"/>
          <w:lang w:val="hu-HU"/>
        </w:rPr>
        <w:t>2015.01. – A beruházások megvalósítása, kiértékelése</w:t>
      </w:r>
    </w:p>
    <w:p>
      <w:pPr>
        <w:pStyle w:val="Listaszerbekezds"/>
        <w:numPr>
          <w:ilvl w:val="0"/>
          <w:numId w:val="12"/>
        </w:numPr>
        <w:rPr>
          <w:rFonts w:ascii="Calibri" w:hAnsi="Calibri"/>
          <w:sz w:val="22"/>
          <w:szCs w:val="22"/>
          <w:lang w:val="hu-HU"/>
        </w:rPr>
      </w:pPr>
      <w:r>
        <w:rPr>
          <w:rFonts w:ascii="Calibri" w:hAnsi="Calibri"/>
          <w:sz w:val="22"/>
          <w:szCs w:val="22"/>
          <w:lang w:val="hu-HU"/>
        </w:rPr>
        <w:t>2015.06. – Visszacsatolás a célok, előirányzatok és a vállalati energiapolitika felé</w:t>
      </w:r>
    </w:p>
    <w:p>
      <w:pPr>
        <w:pStyle w:val="Listaszerbekezds"/>
        <w:numPr>
          <w:ilvl w:val="0"/>
          <w:numId w:val="12"/>
        </w:numPr>
        <w:rPr>
          <w:rFonts w:ascii="Calibri" w:hAnsi="Calibri"/>
          <w:sz w:val="22"/>
          <w:szCs w:val="22"/>
          <w:lang w:val="hu-HU"/>
        </w:rPr>
      </w:pPr>
      <w:r>
        <w:rPr>
          <w:rFonts w:ascii="Calibri" w:hAnsi="Calibri"/>
          <w:sz w:val="22"/>
          <w:szCs w:val="22"/>
          <w:lang w:val="hu-HU"/>
        </w:rPr>
        <w:t xml:space="preserve">2015.09.-ISO 50001 </w:t>
      </w:r>
      <w:proofErr w:type="gramStart"/>
      <w:r>
        <w:rPr>
          <w:rFonts w:ascii="Calibri" w:hAnsi="Calibri"/>
          <w:sz w:val="22"/>
          <w:szCs w:val="22"/>
          <w:lang w:val="hu-HU"/>
        </w:rPr>
        <w:t xml:space="preserve">szabvány  </w:t>
      </w:r>
      <w:proofErr w:type="spellStart"/>
      <w:r>
        <w:rPr>
          <w:rFonts w:ascii="Calibri" w:hAnsi="Calibri"/>
          <w:sz w:val="22"/>
          <w:szCs w:val="22"/>
          <w:lang w:val="hu-HU"/>
        </w:rPr>
        <w:t>tanusításának</w:t>
      </w:r>
      <w:proofErr w:type="spellEnd"/>
      <w:proofErr w:type="gramEnd"/>
      <w:r>
        <w:rPr>
          <w:rFonts w:ascii="Calibri" w:hAnsi="Calibri"/>
          <w:sz w:val="22"/>
          <w:szCs w:val="22"/>
          <w:lang w:val="hu-HU"/>
        </w:rPr>
        <w:t xml:space="preserve"> előkészítő operatív munkái </w:t>
      </w:r>
    </w:p>
    <w:p>
      <w:pPr>
        <w:pStyle w:val="Listaszerbekezds"/>
        <w:numPr>
          <w:ilvl w:val="0"/>
          <w:numId w:val="12"/>
        </w:numPr>
        <w:rPr>
          <w:rFonts w:ascii="Calibri" w:hAnsi="Calibri"/>
          <w:sz w:val="22"/>
          <w:szCs w:val="22"/>
          <w:lang w:val="hu-HU"/>
        </w:rPr>
      </w:pPr>
      <w:r>
        <w:rPr>
          <w:rFonts w:ascii="Calibri" w:hAnsi="Calibri"/>
          <w:sz w:val="22"/>
          <w:szCs w:val="22"/>
          <w:lang w:val="hu-HU"/>
        </w:rPr>
        <w:t>2015.11. – Harmadik feles tanúsító audit, dokumentált nem megfelelőség nélkül</w:t>
      </w:r>
      <w:r>
        <w:rPr>
          <w:rStyle w:val="Lbjegyzet-hivatkozs"/>
          <w:rFonts w:ascii="Calibri" w:hAnsi="Calibri"/>
          <w:sz w:val="22"/>
          <w:szCs w:val="22"/>
          <w:lang w:val="hu-HU"/>
        </w:rPr>
        <w:footnoteReference w:id="5"/>
      </w:r>
    </w:p>
    <w:p>
      <w:pPr>
        <w:ind w:left="284"/>
        <w:rPr>
          <w:rFonts w:ascii="Calibri" w:hAnsi="Calibri"/>
          <w:sz w:val="22"/>
          <w:szCs w:val="22"/>
          <w:lang w:val="hu-HU"/>
        </w:rPr>
      </w:pPr>
    </w:p>
    <w:p>
      <w:pPr>
        <w:ind w:left="284"/>
        <w:rPr>
          <w:rFonts w:ascii="Calibri" w:hAnsi="Calibri"/>
          <w:sz w:val="22"/>
          <w:szCs w:val="22"/>
          <w:lang w:val="hu-HU"/>
        </w:rPr>
      </w:pPr>
    </w:p>
    <w:p>
      <w:pPr>
        <w:ind w:left="284"/>
        <w:rPr>
          <w:rFonts w:ascii="Calibri" w:hAnsi="Calibri"/>
          <w:sz w:val="22"/>
          <w:szCs w:val="22"/>
          <w:lang w:val="hu-HU"/>
        </w:rPr>
      </w:pPr>
    </w:p>
    <w:p>
      <w:pPr>
        <w:ind w:left="284"/>
        <w:rPr>
          <w:rFonts w:ascii="Calibri" w:hAnsi="Calibri"/>
          <w:sz w:val="22"/>
          <w:szCs w:val="22"/>
          <w:lang w:val="hu-HU"/>
        </w:rPr>
      </w:pPr>
    </w:p>
    <w:p>
      <w:pPr>
        <w:ind w:left="284"/>
        <w:rPr>
          <w:rFonts w:ascii="Calibri" w:hAnsi="Calibri"/>
          <w:sz w:val="22"/>
          <w:szCs w:val="22"/>
          <w:lang w:val="hu-HU"/>
        </w:rPr>
      </w:pPr>
    </w:p>
    <w:p>
      <w:pPr>
        <w:ind w:left="284"/>
        <w:rPr>
          <w:rFonts w:ascii="Calibri" w:hAnsi="Calibri"/>
          <w:sz w:val="22"/>
          <w:szCs w:val="22"/>
          <w:lang w:val="hu-HU"/>
        </w:rPr>
      </w:pPr>
    </w:p>
    <w:p>
      <w:pPr>
        <w:ind w:left="284"/>
        <w:rPr>
          <w:rFonts w:ascii="Calibri" w:hAnsi="Calibri"/>
          <w:sz w:val="22"/>
          <w:szCs w:val="22"/>
          <w:lang w:val="hu-HU"/>
        </w:rPr>
      </w:pPr>
    </w:p>
    <w:p>
      <w:pPr>
        <w:ind w:left="284"/>
        <w:rPr>
          <w:rFonts w:ascii="Calibri" w:hAnsi="Calibri"/>
          <w:sz w:val="22"/>
          <w:szCs w:val="22"/>
          <w:lang w:val="hu-HU"/>
        </w:rPr>
      </w:pPr>
    </w:p>
    <w:p>
      <w:pPr>
        <w:ind w:left="284"/>
        <w:rPr>
          <w:rFonts w:ascii="Calibri" w:hAnsi="Calibri"/>
          <w:sz w:val="22"/>
          <w:szCs w:val="22"/>
          <w:lang w:val="hu-HU"/>
        </w:rPr>
      </w:pPr>
    </w:p>
    <w:p>
      <w:pPr>
        <w:ind w:left="284"/>
        <w:rPr>
          <w:rFonts w:ascii="Calibri" w:hAnsi="Calibri"/>
          <w:sz w:val="22"/>
          <w:szCs w:val="22"/>
          <w:lang w:val="hu-HU"/>
        </w:rPr>
      </w:pPr>
    </w:p>
    <w:p>
      <w:pPr>
        <w:ind w:left="284"/>
        <w:rPr>
          <w:rFonts w:ascii="Calibri" w:hAnsi="Calibri"/>
          <w:sz w:val="22"/>
          <w:szCs w:val="22"/>
          <w:lang w:val="hu-HU"/>
        </w:rPr>
      </w:pPr>
    </w:p>
    <w:p>
      <w:pPr>
        <w:ind w:left="284"/>
        <w:rPr>
          <w:rFonts w:ascii="Calibri" w:hAnsi="Calibri"/>
          <w:sz w:val="22"/>
          <w:szCs w:val="22"/>
          <w:lang w:val="hu-HU"/>
        </w:rPr>
      </w:pPr>
    </w:p>
    <w:p>
      <w:pPr>
        <w:ind w:left="284"/>
        <w:rPr>
          <w:rFonts w:ascii="Calibri" w:hAnsi="Calibri"/>
          <w:sz w:val="22"/>
          <w:szCs w:val="22"/>
          <w:lang w:val="hu-HU"/>
        </w:rPr>
      </w:pPr>
    </w:p>
    <w:p>
      <w:pPr>
        <w:ind w:left="284"/>
        <w:rPr>
          <w:rFonts w:ascii="Calibri" w:hAnsi="Calibri"/>
          <w:sz w:val="22"/>
          <w:szCs w:val="22"/>
          <w:lang w:val="hu-HU"/>
        </w:rPr>
      </w:pPr>
    </w:p>
    <w:p>
      <w:pPr>
        <w:ind w:left="284"/>
        <w:rPr>
          <w:rFonts w:ascii="Calibri" w:hAnsi="Calibri"/>
          <w:sz w:val="22"/>
          <w:szCs w:val="22"/>
          <w:lang w:val="hu-HU"/>
        </w:rPr>
      </w:pPr>
    </w:p>
    <w:p>
      <w:pPr>
        <w:rPr>
          <w:rFonts w:ascii="Calibri" w:hAnsi="Calibri"/>
          <w:sz w:val="22"/>
          <w:szCs w:val="22"/>
          <w:lang w:val="hu-HU"/>
        </w:rPr>
      </w:pPr>
    </w:p>
    <w:p>
      <w:pPr>
        <w:jc w:val="right"/>
        <w:rPr>
          <w:rFonts w:ascii="Calibri" w:hAnsi="Calibri"/>
          <w:sz w:val="22"/>
          <w:szCs w:val="22"/>
          <w:lang w:val="hu-HU"/>
        </w:rPr>
      </w:pPr>
      <w:r>
        <w:rPr>
          <w:rFonts w:ascii="Calibri" w:hAnsi="Calibri"/>
          <w:noProof/>
          <w:sz w:val="22"/>
          <w:szCs w:val="22"/>
          <w:lang w:val="hu-HU" w:eastAsia="hu-HU"/>
        </w:rPr>
        <w:lastRenderedPageBreak/>
        <w:drawing>
          <wp:inline distT="0" distB="0" distL="0" distR="0">
            <wp:extent cx="1009934" cy="893928"/>
            <wp:effectExtent l="19050" t="0" r="0" b="0"/>
            <wp:docPr id="6" name="Ké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79" cy="899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Calibri" w:hAnsi="Calibri"/>
          <w:sz w:val="22"/>
          <w:szCs w:val="22"/>
          <w:lang w:val="hu-HU"/>
        </w:rPr>
      </w:pPr>
    </w:p>
    <w:p>
      <w:pPr>
        <w:rPr>
          <w:rFonts w:ascii="Calibri" w:hAnsi="Calibri"/>
          <w:sz w:val="22"/>
          <w:szCs w:val="22"/>
          <w:lang w:val="hu-HU"/>
        </w:rPr>
      </w:pPr>
      <w:r>
        <w:rPr>
          <w:rFonts w:ascii="Calibri" w:hAnsi="Calibri"/>
          <w:sz w:val="22"/>
          <w:szCs w:val="22"/>
          <w:lang w:val="hu-HU"/>
        </w:rPr>
        <w:t xml:space="preserve">Az ún. </w:t>
      </w:r>
      <w:proofErr w:type="gramStart"/>
      <w:r>
        <w:rPr>
          <w:rFonts w:ascii="Calibri" w:hAnsi="Calibri"/>
          <w:sz w:val="22"/>
          <w:szCs w:val="22"/>
          <w:lang w:val="hu-HU"/>
        </w:rPr>
        <w:t>alapállapot-rögzítésben</w:t>
      </w:r>
      <w:proofErr w:type="gramEnd"/>
      <w:r>
        <w:rPr>
          <w:rFonts w:ascii="Calibri" w:hAnsi="Calibri"/>
          <w:sz w:val="22"/>
          <w:szCs w:val="22"/>
          <w:lang w:val="hu-HU"/>
        </w:rPr>
        <w:t xml:space="preserve"> már definiáltuk a viszonyítási alapot jelentő bázisévet (2010), és az</w:t>
      </w:r>
      <w:r>
        <w:rPr>
          <w:rFonts w:ascii="Calibri" w:hAnsi="Calibri"/>
          <w:sz w:val="22"/>
          <w:szCs w:val="22"/>
          <w:lang w:val="hu-HU"/>
        </w:rPr>
        <w:t>o</w:t>
      </w:r>
      <w:r>
        <w:rPr>
          <w:rFonts w:ascii="Calibri" w:hAnsi="Calibri"/>
          <w:sz w:val="22"/>
          <w:szCs w:val="22"/>
          <w:lang w:val="hu-HU"/>
        </w:rPr>
        <w:t>kat az energiateljesítmény-mutatókat (ETM), amelyekhez viszonyítva a fejlődést mérni szándéko</w:t>
      </w:r>
      <w:r>
        <w:rPr>
          <w:rFonts w:ascii="Calibri" w:hAnsi="Calibri"/>
          <w:sz w:val="22"/>
          <w:szCs w:val="22"/>
          <w:lang w:val="hu-HU"/>
        </w:rPr>
        <w:t>z</w:t>
      </w:r>
      <w:r>
        <w:rPr>
          <w:rFonts w:ascii="Calibri" w:hAnsi="Calibri"/>
          <w:sz w:val="22"/>
          <w:szCs w:val="22"/>
          <w:lang w:val="hu-HU"/>
        </w:rPr>
        <w:t>tunk. A bázisév megválasztása sem volt véletlen: ekkor kezdődtek a tervezett energetikai beruház</w:t>
      </w:r>
      <w:r>
        <w:rPr>
          <w:rFonts w:ascii="Calibri" w:hAnsi="Calibri"/>
          <w:sz w:val="22"/>
          <w:szCs w:val="22"/>
          <w:lang w:val="hu-HU"/>
        </w:rPr>
        <w:t>á</w:t>
      </w:r>
      <w:r>
        <w:rPr>
          <w:rFonts w:ascii="Calibri" w:hAnsi="Calibri"/>
          <w:sz w:val="22"/>
          <w:szCs w:val="22"/>
          <w:lang w:val="hu-HU"/>
        </w:rPr>
        <w:t>sok a vá</w:t>
      </w:r>
      <w:r>
        <w:rPr>
          <w:rFonts w:ascii="Calibri" w:hAnsi="Calibri"/>
          <w:sz w:val="22"/>
          <w:szCs w:val="22"/>
          <w:lang w:val="hu-HU"/>
        </w:rPr>
        <w:t>l</w:t>
      </w:r>
      <w:r>
        <w:rPr>
          <w:rFonts w:ascii="Calibri" w:hAnsi="Calibri"/>
          <w:sz w:val="22"/>
          <w:szCs w:val="22"/>
          <w:lang w:val="hu-HU"/>
        </w:rPr>
        <w:t xml:space="preserve">lalatnál, és ettől az időponttól datálható a cég életében a termelési struktúra, valamint a </w:t>
      </w:r>
      <w:proofErr w:type="gramStart"/>
      <w:r>
        <w:rPr>
          <w:rFonts w:ascii="Calibri" w:hAnsi="Calibri"/>
          <w:sz w:val="22"/>
          <w:szCs w:val="22"/>
          <w:lang w:val="hu-HU"/>
        </w:rPr>
        <w:t>volumen jelentős</w:t>
      </w:r>
      <w:proofErr w:type="gramEnd"/>
      <w:r>
        <w:rPr>
          <w:rFonts w:ascii="Calibri" w:hAnsi="Calibri"/>
          <w:sz w:val="22"/>
          <w:szCs w:val="22"/>
          <w:lang w:val="hu-HU"/>
        </w:rPr>
        <w:t xml:space="preserve"> átalakulása. A bázisévtől mostanáig a gyártóterület 19%-kal, gyártott termékek száma mintegy 50%-kal nőtt, ezzel fordított arányban pedig a termékegységre vetített fajlagos ene</w:t>
      </w:r>
      <w:r>
        <w:rPr>
          <w:rFonts w:ascii="Calibri" w:hAnsi="Calibri"/>
          <w:sz w:val="22"/>
          <w:szCs w:val="22"/>
          <w:lang w:val="hu-HU"/>
        </w:rPr>
        <w:t>r</w:t>
      </w:r>
      <w:r>
        <w:rPr>
          <w:rFonts w:ascii="Calibri" w:hAnsi="Calibri"/>
          <w:sz w:val="22"/>
          <w:szCs w:val="22"/>
          <w:lang w:val="hu-HU"/>
        </w:rPr>
        <w:t>giafelhaszn</w:t>
      </w:r>
      <w:r>
        <w:rPr>
          <w:rFonts w:ascii="Calibri" w:hAnsi="Calibri"/>
          <w:sz w:val="22"/>
          <w:szCs w:val="22"/>
          <w:lang w:val="hu-HU"/>
        </w:rPr>
        <w:t>á</w:t>
      </w:r>
      <w:r>
        <w:rPr>
          <w:rFonts w:ascii="Calibri" w:hAnsi="Calibri"/>
          <w:sz w:val="22"/>
          <w:szCs w:val="22"/>
          <w:lang w:val="hu-HU"/>
        </w:rPr>
        <w:t>lás (ETM</w:t>
      </w:r>
      <w:r>
        <w:rPr>
          <w:rFonts w:ascii="Calibri" w:hAnsi="Calibri"/>
          <w:sz w:val="22"/>
          <w:szCs w:val="22"/>
          <w:vertAlign w:val="subscript"/>
          <w:lang w:val="hu-HU"/>
        </w:rPr>
        <w:t>1</w:t>
      </w:r>
      <w:r>
        <w:rPr>
          <w:rFonts w:ascii="Calibri" w:hAnsi="Calibri"/>
          <w:sz w:val="22"/>
          <w:szCs w:val="22"/>
          <w:lang w:val="hu-HU"/>
        </w:rPr>
        <w:t xml:space="preserve">) 0,36 kWh/db-ról 0,25 kWh/db-ra csökkent. Az </w:t>
      </w:r>
      <w:proofErr w:type="spellStart"/>
      <w:r>
        <w:rPr>
          <w:rFonts w:ascii="Calibri" w:hAnsi="Calibri"/>
          <w:sz w:val="22"/>
          <w:szCs w:val="22"/>
          <w:lang w:val="hu-HU"/>
        </w:rPr>
        <w:t>ETM-ek</w:t>
      </w:r>
      <w:proofErr w:type="spellEnd"/>
      <w:r>
        <w:rPr>
          <w:rFonts w:ascii="Calibri" w:hAnsi="Calibri"/>
          <w:sz w:val="22"/>
          <w:szCs w:val="22"/>
          <w:lang w:val="hu-HU"/>
        </w:rPr>
        <w:t xml:space="preserve"> alakulását a bázisévtől mostanáig a </w:t>
      </w:r>
      <w:fldSimple w:instr=" REF _Ref443330807 \h  \* MERGEFORMAT ">
        <w:r>
          <w:rPr>
            <w:rFonts w:ascii="Calibri" w:hAnsi="Calibri"/>
            <w:b/>
            <w:noProof/>
            <w:sz w:val="22"/>
            <w:szCs w:val="22"/>
            <w:lang w:val="hu-HU"/>
          </w:rPr>
          <w:t>2</w:t>
        </w:r>
        <w:r>
          <w:rPr>
            <w:rFonts w:ascii="Calibri" w:hAnsi="Calibri"/>
            <w:b/>
            <w:sz w:val="22"/>
            <w:szCs w:val="22"/>
            <w:lang w:val="hu-HU"/>
          </w:rPr>
          <w:t>. ábra</w:t>
        </w:r>
      </w:fldSimple>
      <w:r>
        <w:rPr>
          <w:rFonts w:ascii="Calibri" w:hAnsi="Calibri"/>
          <w:sz w:val="22"/>
          <w:szCs w:val="22"/>
          <w:lang w:val="hu-HU"/>
        </w:rPr>
        <w:t xml:space="preserve"> mutatja be.</w:t>
      </w:r>
    </w:p>
    <w:p>
      <w:pPr>
        <w:rPr>
          <w:rFonts w:ascii="Calibri" w:hAnsi="Calibri"/>
          <w:sz w:val="22"/>
          <w:szCs w:val="22"/>
          <w:lang w:val="hu-HU"/>
        </w:rPr>
      </w:pPr>
    </w:p>
    <w:p>
      <w:pPr>
        <w:jc w:val="center"/>
        <w:rPr>
          <w:rFonts w:ascii="Calibri" w:hAnsi="Calibri"/>
          <w:sz w:val="22"/>
          <w:szCs w:val="22"/>
          <w:lang w:val="hu-HU"/>
        </w:rPr>
      </w:pPr>
      <w:r>
        <w:rPr>
          <w:noProof/>
          <w:szCs w:val="22"/>
          <w:lang w:val="hu-HU" w:eastAsia="hu-HU"/>
        </w:rPr>
        <w:drawing>
          <wp:inline distT="0" distB="0" distL="0" distR="0">
            <wp:extent cx="3555365" cy="1091565"/>
            <wp:effectExtent l="19050" t="0" r="6985" b="0"/>
            <wp:docPr id="20" name="Kép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365" cy="109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2"/>
          <w:lang w:val="hu-HU"/>
        </w:rPr>
        <w:t xml:space="preserve">    </w:t>
      </w:r>
      <w:r>
        <w:rPr>
          <w:noProof/>
          <w:szCs w:val="22"/>
          <w:lang w:val="hu-HU" w:eastAsia="hu-HU"/>
        </w:rPr>
        <w:drawing>
          <wp:inline distT="0" distB="0" distL="0" distR="0">
            <wp:extent cx="3555365" cy="1282700"/>
            <wp:effectExtent l="19050" t="0" r="6985" b="0"/>
            <wp:docPr id="24" name="Kép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365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1" w:name="_Ref443330807"/>
    <w:p>
      <w:pPr>
        <w:pStyle w:val="Kpalrs"/>
        <w:jc w:val="center"/>
        <w:rPr>
          <w:rFonts w:ascii="Calibri" w:hAnsi="Calibri"/>
          <w:lang w:val="hu-HU"/>
        </w:rPr>
      </w:pPr>
      <w:r>
        <w:rPr>
          <w:rFonts w:ascii="Calibri" w:hAnsi="Calibri"/>
          <w:lang w:val="hu-HU"/>
        </w:rPr>
        <w:fldChar w:fldCharType="begin"/>
      </w:r>
      <w:r>
        <w:rPr>
          <w:rFonts w:ascii="Calibri" w:hAnsi="Calibri"/>
          <w:lang w:val="hu-HU"/>
        </w:rPr>
        <w:instrText xml:space="preserve"> SEQ ábra \* ARABIC </w:instrText>
      </w:r>
      <w:r>
        <w:rPr>
          <w:rFonts w:ascii="Calibri" w:hAnsi="Calibri"/>
          <w:lang w:val="hu-HU"/>
        </w:rPr>
        <w:fldChar w:fldCharType="separate"/>
      </w:r>
      <w:r>
        <w:rPr>
          <w:rFonts w:ascii="Calibri" w:hAnsi="Calibri"/>
          <w:noProof/>
          <w:lang w:val="hu-HU"/>
        </w:rPr>
        <w:t>2</w:t>
      </w:r>
      <w:r>
        <w:rPr>
          <w:rFonts w:ascii="Calibri" w:hAnsi="Calibri"/>
          <w:lang w:val="hu-HU"/>
        </w:rPr>
        <w:fldChar w:fldCharType="end"/>
      </w:r>
      <w:r>
        <w:rPr>
          <w:rFonts w:ascii="Calibri" w:hAnsi="Calibri"/>
          <w:lang w:val="hu-HU"/>
        </w:rPr>
        <w:t>. ábra</w:t>
      </w:r>
      <w:bookmarkEnd w:id="1"/>
      <w:r>
        <w:rPr>
          <w:rFonts w:ascii="Calibri" w:hAnsi="Calibri"/>
          <w:lang w:val="hu-HU"/>
        </w:rPr>
        <w:t xml:space="preserve">: </w:t>
      </w:r>
      <w:r>
        <w:rPr>
          <w:rFonts w:ascii="Calibri" w:hAnsi="Calibri"/>
          <w:b w:val="0"/>
          <w:lang w:val="hu-HU"/>
        </w:rPr>
        <w:t xml:space="preserve">Az energia teljesítmény-mutatók százalékos alakulása </w:t>
      </w:r>
    </w:p>
    <w:p>
      <w:pPr>
        <w:rPr>
          <w:rFonts w:ascii="Calibri" w:hAnsi="Calibri"/>
          <w:sz w:val="22"/>
          <w:szCs w:val="22"/>
          <w:lang w:val="hu-HU"/>
        </w:rPr>
      </w:pPr>
    </w:p>
    <w:p>
      <w:pPr>
        <w:rPr>
          <w:rFonts w:ascii="Calibri" w:hAnsi="Calibri"/>
          <w:sz w:val="22"/>
          <w:szCs w:val="22"/>
          <w:lang w:val="hu-HU"/>
        </w:rPr>
      </w:pPr>
    </w:p>
    <w:p>
      <w:pPr>
        <w:rPr>
          <w:rFonts w:ascii="Calibri" w:hAnsi="Calibri"/>
          <w:sz w:val="22"/>
          <w:szCs w:val="22"/>
          <w:lang w:val="hu-HU"/>
        </w:rPr>
      </w:pPr>
      <w:r>
        <w:rPr>
          <w:rFonts w:ascii="Calibri" w:hAnsi="Calibri"/>
          <w:sz w:val="22"/>
          <w:szCs w:val="22"/>
          <w:lang w:val="hu-HU"/>
        </w:rPr>
        <w:t>A fajlagosak csökkenése, természetesen, jórészt csak jelentős invesztíciók árán volt lehetséges, ezt azonban minden szempontból támogatta a példaértékű termék- és szolgáltatás-beszerzési eljárás, ami – nem mellesleg – szintén az energia irányítási rendszer kiépítésének eredményeként került á</w:t>
      </w:r>
      <w:r>
        <w:rPr>
          <w:rFonts w:ascii="Calibri" w:hAnsi="Calibri"/>
          <w:sz w:val="22"/>
          <w:szCs w:val="22"/>
          <w:lang w:val="hu-HU"/>
        </w:rPr>
        <w:t>t</w:t>
      </w:r>
      <w:r>
        <w:rPr>
          <w:rFonts w:ascii="Calibri" w:hAnsi="Calibri"/>
          <w:sz w:val="22"/>
          <w:szCs w:val="22"/>
          <w:lang w:val="hu-HU"/>
        </w:rPr>
        <w:t xml:space="preserve">dolgozásra. A jelenleg érvényben lévő szabályzó az ún. LCCA (Life </w:t>
      </w:r>
      <w:proofErr w:type="spellStart"/>
      <w:r>
        <w:rPr>
          <w:rFonts w:ascii="Calibri" w:hAnsi="Calibri"/>
          <w:sz w:val="22"/>
          <w:szCs w:val="22"/>
          <w:lang w:val="hu-HU"/>
        </w:rPr>
        <w:t>Cicle</w:t>
      </w:r>
      <w:proofErr w:type="spellEnd"/>
      <w:r>
        <w:rPr>
          <w:rFonts w:ascii="Calibri" w:hAnsi="Calibri"/>
          <w:sz w:val="22"/>
          <w:szCs w:val="22"/>
          <w:lang w:val="hu-HU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hu-HU"/>
        </w:rPr>
        <w:t>Cost</w:t>
      </w:r>
      <w:proofErr w:type="spellEnd"/>
      <w:r>
        <w:rPr>
          <w:rFonts w:ascii="Calibri" w:hAnsi="Calibri"/>
          <w:sz w:val="22"/>
          <w:szCs w:val="22"/>
          <w:lang w:val="hu-HU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hu-HU"/>
        </w:rPr>
        <w:t>Assessment</w:t>
      </w:r>
      <w:proofErr w:type="spellEnd"/>
      <w:r>
        <w:rPr>
          <w:rFonts w:ascii="Calibri" w:hAnsi="Calibri"/>
          <w:sz w:val="22"/>
          <w:szCs w:val="22"/>
          <w:lang w:val="hu-HU"/>
        </w:rPr>
        <w:t>) elv alapján szerveződik, tehát azokat az ajánlati tartalmakat részesíti előnyben, amelyek teljes életciklusuk alatt a legalacsonyabb anyag- és energiafelhasználást eredményezik. Ez odáig terjed, hogy számos esetben a magasabb beruházási költségű opció került kiválasztásra, amennyiben azok üzemeltetési költségei – azokkal arányosan pedig energiafelhasználásuk és károsanyag-kibocsátásuk – alacsonyabb. Néhány példa az elmúlt évek jelentősebb beruházásai közül:</w:t>
      </w:r>
    </w:p>
    <w:p>
      <w:pPr>
        <w:pStyle w:val="Listaszerbekezds"/>
        <w:ind w:left="360"/>
        <w:rPr>
          <w:rFonts w:ascii="Calibri" w:hAnsi="Calibri"/>
          <w:sz w:val="22"/>
          <w:szCs w:val="22"/>
          <w:lang w:val="hu-HU"/>
        </w:rPr>
      </w:pPr>
    </w:p>
    <w:p>
      <w:pPr>
        <w:pStyle w:val="Listaszerbekezds"/>
        <w:numPr>
          <w:ilvl w:val="0"/>
          <w:numId w:val="13"/>
        </w:numPr>
        <w:rPr>
          <w:rFonts w:ascii="Calibri" w:hAnsi="Calibri"/>
          <w:sz w:val="22"/>
          <w:szCs w:val="22"/>
          <w:lang w:val="hu-HU"/>
        </w:rPr>
      </w:pPr>
      <w:r>
        <w:rPr>
          <w:rFonts w:ascii="Calibri" w:hAnsi="Calibri"/>
          <w:sz w:val="22"/>
          <w:szCs w:val="22"/>
          <w:lang w:val="hu-HU"/>
        </w:rPr>
        <w:t>A födémszigetelés teljes cseréje, alacsonyabb hővezetési tényezőjű szerkezettel</w:t>
      </w:r>
    </w:p>
    <w:p>
      <w:pPr>
        <w:pStyle w:val="Listaszerbekezds"/>
        <w:numPr>
          <w:ilvl w:val="0"/>
          <w:numId w:val="13"/>
        </w:numPr>
        <w:rPr>
          <w:rFonts w:ascii="Calibri" w:hAnsi="Calibri"/>
          <w:sz w:val="22"/>
          <w:szCs w:val="22"/>
          <w:lang w:val="hu-HU"/>
        </w:rPr>
      </w:pPr>
      <w:r>
        <w:rPr>
          <w:rFonts w:ascii="Calibri" w:hAnsi="Calibri"/>
          <w:sz w:val="22"/>
          <w:szCs w:val="22"/>
          <w:lang w:val="hu-HU"/>
        </w:rPr>
        <w:t>A kazánház és a fűtési rendszer átfogó rekonstrukciója</w:t>
      </w:r>
    </w:p>
    <w:p>
      <w:pPr>
        <w:pStyle w:val="Listaszerbekezds"/>
        <w:numPr>
          <w:ilvl w:val="0"/>
          <w:numId w:val="13"/>
        </w:numPr>
        <w:rPr>
          <w:rFonts w:ascii="Calibri" w:hAnsi="Calibri"/>
          <w:sz w:val="22"/>
          <w:szCs w:val="22"/>
          <w:lang w:val="hu-HU"/>
        </w:rPr>
      </w:pPr>
      <w:r>
        <w:rPr>
          <w:rFonts w:ascii="Calibri" w:hAnsi="Calibri"/>
          <w:sz w:val="22"/>
          <w:szCs w:val="22"/>
          <w:lang w:val="hu-HU"/>
        </w:rPr>
        <w:t>A gyártócsarnokok általános világításának cseréje LED fényforrásokra</w:t>
      </w:r>
    </w:p>
    <w:p>
      <w:pPr>
        <w:pStyle w:val="Listaszerbekezds"/>
        <w:numPr>
          <w:ilvl w:val="0"/>
          <w:numId w:val="13"/>
        </w:numPr>
        <w:rPr>
          <w:rFonts w:ascii="Calibri" w:hAnsi="Calibri"/>
          <w:sz w:val="22"/>
          <w:szCs w:val="22"/>
          <w:lang w:val="hu-HU"/>
        </w:rPr>
      </w:pPr>
      <w:r>
        <w:rPr>
          <w:rFonts w:ascii="Calibri" w:hAnsi="Calibri"/>
          <w:sz w:val="22"/>
          <w:szCs w:val="22"/>
          <w:lang w:val="hu-HU"/>
        </w:rPr>
        <w:t xml:space="preserve">A sűrítettlevegő-kompresszorok </w:t>
      </w:r>
      <w:proofErr w:type="spellStart"/>
      <w:r>
        <w:rPr>
          <w:rFonts w:ascii="Calibri" w:hAnsi="Calibri"/>
          <w:sz w:val="22"/>
          <w:szCs w:val="22"/>
          <w:lang w:val="hu-HU"/>
        </w:rPr>
        <w:t>hulladékhőjének</w:t>
      </w:r>
      <w:proofErr w:type="spellEnd"/>
      <w:r>
        <w:rPr>
          <w:rFonts w:ascii="Calibri" w:hAnsi="Calibri"/>
          <w:sz w:val="22"/>
          <w:szCs w:val="22"/>
          <w:lang w:val="hu-HU"/>
        </w:rPr>
        <w:t xml:space="preserve"> hasznosítása HMV termelésre</w:t>
      </w:r>
    </w:p>
    <w:p>
      <w:pPr>
        <w:pStyle w:val="Listaszerbekezds"/>
        <w:numPr>
          <w:ilvl w:val="0"/>
          <w:numId w:val="13"/>
        </w:numPr>
        <w:rPr>
          <w:rFonts w:ascii="Calibri" w:hAnsi="Calibri"/>
          <w:sz w:val="22"/>
          <w:szCs w:val="22"/>
          <w:lang w:val="hu-HU"/>
        </w:rPr>
      </w:pPr>
      <w:r>
        <w:rPr>
          <w:rFonts w:ascii="Calibri" w:hAnsi="Calibri"/>
          <w:sz w:val="22"/>
          <w:szCs w:val="22"/>
          <w:lang w:val="hu-HU"/>
        </w:rPr>
        <w:t xml:space="preserve">Az elavult légkezelő berendezések cseréje, forgódobos </w:t>
      </w:r>
      <w:proofErr w:type="spellStart"/>
      <w:r>
        <w:rPr>
          <w:rFonts w:ascii="Calibri" w:hAnsi="Calibri"/>
          <w:sz w:val="22"/>
          <w:szCs w:val="22"/>
          <w:lang w:val="hu-HU"/>
        </w:rPr>
        <w:t>hővisszanyerővel</w:t>
      </w:r>
      <w:proofErr w:type="spellEnd"/>
      <w:r>
        <w:rPr>
          <w:rFonts w:ascii="Calibri" w:hAnsi="Calibri"/>
          <w:sz w:val="22"/>
          <w:szCs w:val="22"/>
          <w:lang w:val="hu-HU"/>
        </w:rPr>
        <w:t xml:space="preserve"> szerelt egységekre</w:t>
      </w:r>
    </w:p>
    <w:p>
      <w:pPr>
        <w:pStyle w:val="Listaszerbekezds"/>
        <w:numPr>
          <w:ilvl w:val="0"/>
          <w:numId w:val="13"/>
        </w:numPr>
        <w:rPr>
          <w:rFonts w:ascii="Calibri" w:hAnsi="Calibri"/>
          <w:sz w:val="22"/>
          <w:szCs w:val="22"/>
          <w:lang w:val="hu-HU"/>
        </w:rPr>
      </w:pPr>
      <w:proofErr w:type="spellStart"/>
      <w:r>
        <w:rPr>
          <w:rFonts w:ascii="Calibri" w:hAnsi="Calibri"/>
          <w:sz w:val="22"/>
          <w:szCs w:val="22"/>
          <w:lang w:val="hu-HU"/>
        </w:rPr>
        <w:t>Evaporatív</w:t>
      </w:r>
      <w:proofErr w:type="spellEnd"/>
      <w:r>
        <w:rPr>
          <w:rFonts w:ascii="Calibri" w:hAnsi="Calibri"/>
          <w:sz w:val="22"/>
          <w:szCs w:val="22"/>
          <w:lang w:val="hu-HU"/>
        </w:rPr>
        <w:t xml:space="preserve"> adiabatikus szabadhűtés kiépítése technológiai hűtőkörökre</w:t>
      </w:r>
    </w:p>
    <w:p>
      <w:pPr>
        <w:rPr>
          <w:rFonts w:ascii="Calibri" w:hAnsi="Calibri"/>
          <w:sz w:val="22"/>
          <w:szCs w:val="22"/>
          <w:lang w:val="hu-HU"/>
        </w:rPr>
      </w:pPr>
    </w:p>
    <w:p>
      <w:pPr>
        <w:jc w:val="right"/>
        <w:rPr>
          <w:rFonts w:ascii="Calibri" w:hAnsi="Calibri"/>
          <w:sz w:val="22"/>
          <w:szCs w:val="22"/>
          <w:lang w:val="hu-HU"/>
        </w:rPr>
      </w:pPr>
      <w:r>
        <w:rPr>
          <w:rFonts w:ascii="Calibri" w:hAnsi="Calibri"/>
          <w:noProof/>
          <w:sz w:val="22"/>
          <w:szCs w:val="22"/>
          <w:lang w:val="hu-HU" w:eastAsia="hu-HU"/>
        </w:rPr>
        <w:lastRenderedPageBreak/>
        <w:drawing>
          <wp:inline distT="0" distB="0" distL="0" distR="0">
            <wp:extent cx="1009934" cy="893928"/>
            <wp:effectExtent l="19050" t="0" r="0" b="0"/>
            <wp:docPr id="7" name="Ké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79" cy="899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right"/>
        <w:rPr>
          <w:rFonts w:ascii="Calibri" w:hAnsi="Calibri"/>
          <w:sz w:val="22"/>
          <w:szCs w:val="22"/>
          <w:lang w:val="hu-HU"/>
        </w:rPr>
      </w:pPr>
    </w:p>
    <w:p>
      <w:pPr>
        <w:rPr>
          <w:rFonts w:ascii="Calibri" w:hAnsi="Calibri"/>
          <w:sz w:val="22"/>
          <w:szCs w:val="22"/>
          <w:lang w:val="hu-HU"/>
        </w:rPr>
      </w:pPr>
      <w:r>
        <w:rPr>
          <w:rFonts w:ascii="Calibri" w:hAnsi="Calibri"/>
          <w:sz w:val="22"/>
          <w:szCs w:val="22"/>
          <w:lang w:val="hu-HU"/>
        </w:rPr>
        <w:t>A megvalósult beruházások hatását az energia fogyasztás alakulására a jobb szemléltetés végett egy „mi lett volna, ha a beruházások nem realizálódnak” vs. tényleges energiafogyasztás kimutatás sze</w:t>
      </w:r>
      <w:r>
        <w:rPr>
          <w:rFonts w:ascii="Calibri" w:hAnsi="Calibri"/>
          <w:sz w:val="22"/>
          <w:szCs w:val="22"/>
          <w:lang w:val="hu-HU"/>
        </w:rPr>
        <w:t>m</w:t>
      </w:r>
      <w:r>
        <w:rPr>
          <w:rFonts w:ascii="Calibri" w:hAnsi="Calibri"/>
          <w:sz w:val="22"/>
          <w:szCs w:val="22"/>
          <w:lang w:val="hu-HU"/>
        </w:rPr>
        <w:t xml:space="preserve">lélteti a </w:t>
      </w:r>
      <w:r>
        <w:rPr>
          <w:rFonts w:ascii="Calibri" w:hAnsi="Calibri"/>
          <w:b/>
          <w:sz w:val="22"/>
          <w:szCs w:val="22"/>
          <w:lang w:val="hu-HU"/>
        </w:rPr>
        <w:t>3. ábrán</w:t>
      </w:r>
    </w:p>
    <w:p>
      <w:pPr>
        <w:rPr>
          <w:szCs w:val="22"/>
        </w:rPr>
      </w:pPr>
      <w:r>
        <w:rPr>
          <w:noProof/>
          <w:szCs w:val="22"/>
          <w:lang w:val="hu-HU" w:eastAsia="hu-HU"/>
        </w:rPr>
        <w:drawing>
          <wp:inline distT="0" distB="0" distL="0" distR="0">
            <wp:extent cx="5535589" cy="2115403"/>
            <wp:effectExtent l="19050" t="0" r="7961" b="0"/>
            <wp:docPr id="28" name="Kép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589" cy="2115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Calibri" w:hAnsi="Calibri"/>
          <w:sz w:val="16"/>
          <w:szCs w:val="16"/>
        </w:rPr>
      </w:pPr>
      <w:r>
        <w:rPr>
          <w:b/>
          <w:sz w:val="16"/>
          <w:szCs w:val="16"/>
        </w:rPr>
        <w:t>3.ábra</w:t>
      </w:r>
      <w:r>
        <w:rPr>
          <w:sz w:val="16"/>
          <w:szCs w:val="16"/>
        </w:rPr>
        <w:t xml:space="preserve">:Valós </w:t>
      </w:r>
      <w:proofErr w:type="spellStart"/>
      <w:r>
        <w:rPr>
          <w:sz w:val="16"/>
          <w:szCs w:val="16"/>
        </w:rPr>
        <w:t>energia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fogyasztás</w:t>
      </w:r>
      <w:proofErr w:type="spellEnd"/>
      <w:r>
        <w:rPr>
          <w:sz w:val="16"/>
          <w:szCs w:val="16"/>
        </w:rPr>
        <w:t xml:space="preserve"> vs. </w:t>
      </w:r>
      <w:proofErr w:type="spellStart"/>
      <w:r>
        <w:rPr>
          <w:sz w:val="16"/>
          <w:szCs w:val="16"/>
        </w:rPr>
        <w:t>beruházások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nélküli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energia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fogyasztás</w:t>
      </w:r>
      <w:proofErr w:type="spellEnd"/>
    </w:p>
    <w:p>
      <w:pPr>
        <w:rPr>
          <w:rFonts w:ascii="Calibri" w:hAnsi="Calibri"/>
          <w:sz w:val="22"/>
          <w:szCs w:val="22"/>
          <w:lang w:val="hu-HU"/>
        </w:rPr>
      </w:pPr>
      <w:r>
        <w:rPr>
          <w:rFonts w:ascii="Calibri" w:hAnsi="Calibri"/>
          <w:sz w:val="22"/>
          <w:szCs w:val="22"/>
          <w:lang w:val="hu-HU"/>
        </w:rPr>
        <w:t xml:space="preserve">A vállalat kiemelt hangsúlyt helyez az elért eredmények kommunikációjára és </w:t>
      </w:r>
      <w:proofErr w:type="spellStart"/>
      <w:r>
        <w:rPr>
          <w:rFonts w:ascii="Calibri" w:hAnsi="Calibri"/>
          <w:sz w:val="22"/>
          <w:szCs w:val="22"/>
          <w:lang w:val="hu-HU"/>
        </w:rPr>
        <w:t>disszeminációjára</w:t>
      </w:r>
      <w:proofErr w:type="spellEnd"/>
      <w:r>
        <w:rPr>
          <w:rFonts w:ascii="Calibri" w:hAnsi="Calibri"/>
          <w:sz w:val="22"/>
          <w:szCs w:val="22"/>
          <w:lang w:val="hu-HU"/>
        </w:rPr>
        <w:t xml:space="preserve">. Nem titkolt cél, hogy a </w:t>
      </w:r>
      <w:proofErr w:type="spellStart"/>
      <w:r>
        <w:rPr>
          <w:rFonts w:ascii="Calibri" w:hAnsi="Calibri"/>
          <w:sz w:val="22"/>
          <w:szCs w:val="22"/>
          <w:lang w:val="hu-HU"/>
        </w:rPr>
        <w:t>corporate</w:t>
      </w:r>
      <w:proofErr w:type="spellEnd"/>
      <w:r>
        <w:rPr>
          <w:rFonts w:ascii="Calibri" w:hAnsi="Calibri"/>
          <w:sz w:val="22"/>
          <w:szCs w:val="22"/>
          <w:lang w:val="hu-HU"/>
        </w:rPr>
        <w:t xml:space="preserve"> szintű benchmark – amelyet egyébként rendszeres, gyáregységek közötti keresztauditok is támogatnak – referenciaüzemmé nőjük ki magunkat. Rendszeresek a belső oktat</w:t>
      </w:r>
      <w:r>
        <w:rPr>
          <w:rFonts w:ascii="Calibri" w:hAnsi="Calibri"/>
          <w:sz w:val="22"/>
          <w:szCs w:val="22"/>
          <w:lang w:val="hu-HU"/>
        </w:rPr>
        <w:t>á</w:t>
      </w:r>
      <w:r>
        <w:rPr>
          <w:rFonts w:ascii="Calibri" w:hAnsi="Calibri"/>
          <w:sz w:val="22"/>
          <w:szCs w:val="22"/>
          <w:lang w:val="hu-HU"/>
        </w:rPr>
        <w:t>sok és tudatformáló intézkedések, kiválóan működik a dolgozói javaslatok elbírálását és megvalósít</w:t>
      </w:r>
      <w:r>
        <w:rPr>
          <w:rFonts w:ascii="Calibri" w:hAnsi="Calibri"/>
          <w:sz w:val="22"/>
          <w:szCs w:val="22"/>
          <w:lang w:val="hu-HU"/>
        </w:rPr>
        <w:t>á</w:t>
      </w:r>
      <w:r>
        <w:rPr>
          <w:rFonts w:ascii="Calibri" w:hAnsi="Calibri"/>
          <w:sz w:val="22"/>
          <w:szCs w:val="22"/>
          <w:lang w:val="hu-HU"/>
        </w:rPr>
        <w:t>sát szolgáló „ötletdoboz” rendszer, és hogy a társadalmi felelősségvállalásról, illetve a közösségi kommunikációról is essék szó: családi nap keretén belül mutatjuk be az elért eredményeket, ezzel is támogatva az energiatudatosság minél szélesebb körű térnyerését. Szoros az együttműködés a Veszprémi Egyetemmel és más felsőoktatási intézményekkel, kutatóhelyekkel, a gyakornoki program pedig az új energetikus generáció tapasztalatszerzését segíti. Említésre méltó, hogy a szabványos EIR kiép</w:t>
      </w:r>
      <w:r>
        <w:rPr>
          <w:rFonts w:ascii="Calibri" w:hAnsi="Calibri"/>
          <w:sz w:val="22"/>
          <w:szCs w:val="22"/>
          <w:lang w:val="hu-HU"/>
        </w:rPr>
        <w:t>í</w:t>
      </w:r>
      <w:r>
        <w:rPr>
          <w:rFonts w:ascii="Calibri" w:hAnsi="Calibri"/>
          <w:sz w:val="22"/>
          <w:szCs w:val="22"/>
          <w:lang w:val="hu-HU"/>
        </w:rPr>
        <w:t xml:space="preserve">tésében is segédkezett egy végzős környezetmérnök hallgató. </w:t>
      </w:r>
    </w:p>
    <w:p>
      <w:pPr>
        <w:rPr>
          <w:rFonts w:ascii="Calibri" w:hAnsi="Calibri"/>
          <w:sz w:val="22"/>
          <w:szCs w:val="22"/>
          <w:lang w:val="hu-HU"/>
        </w:rPr>
      </w:pPr>
      <w:r>
        <w:rPr>
          <w:rFonts w:ascii="Calibri" w:hAnsi="Calibri"/>
          <w:sz w:val="22"/>
          <w:szCs w:val="22"/>
          <w:lang w:val="hu-HU"/>
        </w:rPr>
        <w:t xml:space="preserve">A </w:t>
      </w:r>
      <w:proofErr w:type="spellStart"/>
      <w:r>
        <w:rPr>
          <w:rFonts w:ascii="Calibri" w:hAnsi="Calibri"/>
          <w:sz w:val="22"/>
          <w:szCs w:val="22"/>
          <w:lang w:val="hu-HU"/>
        </w:rPr>
        <w:t>Continental</w:t>
      </w:r>
      <w:proofErr w:type="spellEnd"/>
      <w:r>
        <w:rPr>
          <w:rFonts w:ascii="Calibri" w:hAnsi="Calibri"/>
          <w:sz w:val="22"/>
          <w:szCs w:val="22"/>
          <w:lang w:val="hu-HU"/>
        </w:rPr>
        <w:t xml:space="preserve"> Automotive Kft. jó példa arra az esetre, amikor egy szervezeten belül minden szüks</w:t>
      </w:r>
      <w:r>
        <w:rPr>
          <w:rFonts w:ascii="Calibri" w:hAnsi="Calibri"/>
          <w:sz w:val="22"/>
          <w:szCs w:val="22"/>
          <w:lang w:val="hu-HU"/>
        </w:rPr>
        <w:t>é</w:t>
      </w:r>
      <w:r>
        <w:rPr>
          <w:rFonts w:ascii="Calibri" w:hAnsi="Calibri"/>
          <w:sz w:val="22"/>
          <w:szCs w:val="22"/>
          <w:lang w:val="hu-HU"/>
        </w:rPr>
        <w:t xml:space="preserve">ges </w:t>
      </w:r>
      <w:proofErr w:type="gramStart"/>
      <w:r>
        <w:rPr>
          <w:rFonts w:ascii="Calibri" w:hAnsi="Calibri"/>
          <w:sz w:val="22"/>
          <w:szCs w:val="22"/>
          <w:lang w:val="hu-HU"/>
        </w:rPr>
        <w:t>kompetencia rendelkezésre</w:t>
      </w:r>
      <w:proofErr w:type="gramEnd"/>
      <w:r>
        <w:rPr>
          <w:rFonts w:ascii="Calibri" w:hAnsi="Calibri"/>
          <w:sz w:val="22"/>
          <w:szCs w:val="22"/>
          <w:lang w:val="hu-HU"/>
        </w:rPr>
        <w:t xml:space="preserve"> áll a transzparens és jól tervezhető energiagazdálkodás megvalósít</w:t>
      </w:r>
      <w:r>
        <w:rPr>
          <w:rFonts w:ascii="Calibri" w:hAnsi="Calibri"/>
          <w:sz w:val="22"/>
          <w:szCs w:val="22"/>
          <w:lang w:val="hu-HU"/>
        </w:rPr>
        <w:t>á</w:t>
      </w:r>
      <w:r>
        <w:rPr>
          <w:rFonts w:ascii="Calibri" w:hAnsi="Calibri"/>
          <w:sz w:val="22"/>
          <w:szCs w:val="22"/>
          <w:lang w:val="hu-HU"/>
        </w:rPr>
        <w:t>sához. Ebben a cégkultúrában a személyes ambíciók hajtóereje alulról tolja, a felső vezetés támog</w:t>
      </w:r>
      <w:r>
        <w:rPr>
          <w:rFonts w:ascii="Calibri" w:hAnsi="Calibri"/>
          <w:sz w:val="22"/>
          <w:szCs w:val="22"/>
          <w:lang w:val="hu-HU"/>
        </w:rPr>
        <w:t>a</w:t>
      </w:r>
      <w:r>
        <w:rPr>
          <w:rFonts w:ascii="Calibri" w:hAnsi="Calibri"/>
          <w:sz w:val="22"/>
          <w:szCs w:val="22"/>
          <w:lang w:val="hu-HU"/>
        </w:rPr>
        <w:t xml:space="preserve">tása pedig felülről húzza a fejlődési folyamatot, így tanácsadói támogatás nélkül, „elengedett kézzel” is meg tud valósulni a hatékony </w:t>
      </w:r>
      <w:proofErr w:type="gramStart"/>
      <w:r>
        <w:rPr>
          <w:rFonts w:ascii="Calibri" w:hAnsi="Calibri"/>
          <w:sz w:val="22"/>
          <w:szCs w:val="22"/>
          <w:lang w:val="hu-HU"/>
        </w:rPr>
        <w:t>energia irányítás</w:t>
      </w:r>
      <w:proofErr w:type="gramEnd"/>
      <w:r>
        <w:rPr>
          <w:rFonts w:ascii="Calibri" w:hAnsi="Calibri"/>
          <w:sz w:val="22"/>
          <w:szCs w:val="22"/>
          <w:lang w:val="hu-HU"/>
        </w:rPr>
        <w:t xml:space="preserve">. 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id="1">
    <w:p>
      <w:pPr>
        <w:pStyle w:val="Lbjegyzetszveg"/>
        <w:spacing w:before="0"/>
      </w:pPr>
      <w:r>
        <w:rPr>
          <w:rStyle w:val="Lbjegyzet-hivatkozs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  <w:lang w:val="hu-HU"/>
        </w:rPr>
        <w:t>Energia menedzser</w:t>
      </w:r>
    </w:p>
  </w:footnote>
  <w:footnote w:id="2">
    <w:p>
      <w:pPr>
        <w:pStyle w:val="Lbjegyzetszveg"/>
        <w:spacing w:before="0"/>
      </w:pPr>
      <w:r>
        <w:rPr>
          <w:rStyle w:val="Lbjegyzet-hivatkozs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  <w:lang w:val="hu-HU"/>
        </w:rPr>
        <w:t xml:space="preserve">Energetikai </w:t>
      </w:r>
      <w:proofErr w:type="spellStart"/>
      <w:r>
        <w:rPr>
          <w:rFonts w:ascii="Calibri" w:hAnsi="Calibri"/>
          <w:sz w:val="18"/>
          <w:szCs w:val="18"/>
          <w:lang w:val="hu-HU"/>
        </w:rPr>
        <w:t>koordinator</w:t>
      </w:r>
      <w:proofErr w:type="spellEnd"/>
    </w:p>
  </w:footnote>
  <w:footnote w:id="3">
    <w:p>
      <w:pPr>
        <w:pStyle w:val="Lbjegyzetszveg"/>
        <w:spacing w:before="0"/>
      </w:pPr>
      <w:r>
        <w:rPr>
          <w:rStyle w:val="Lbjegyzet-hivatkozs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proofErr w:type="spellStart"/>
      <w:r>
        <w:rPr>
          <w:rFonts w:ascii="Calibri" w:hAnsi="Calibri"/>
          <w:sz w:val="18"/>
          <w:szCs w:val="18"/>
        </w:rPr>
        <w:t>Integrált</w:t>
      </w:r>
      <w:proofErr w:type="spellEnd"/>
      <w:r>
        <w:rPr>
          <w:rFonts w:ascii="Calibri" w:hAnsi="Calibri"/>
          <w:sz w:val="18"/>
          <w:szCs w:val="18"/>
        </w:rPr>
        <w:t xml:space="preserve"> </w:t>
      </w:r>
      <w:proofErr w:type="spellStart"/>
      <w:r>
        <w:rPr>
          <w:rFonts w:ascii="Calibri" w:hAnsi="Calibri"/>
          <w:sz w:val="18"/>
          <w:szCs w:val="18"/>
        </w:rPr>
        <w:t>vállaltirányítási</w:t>
      </w:r>
      <w:proofErr w:type="spellEnd"/>
      <w:r>
        <w:rPr>
          <w:rFonts w:ascii="Calibri" w:hAnsi="Calibri"/>
          <w:sz w:val="18"/>
          <w:szCs w:val="18"/>
        </w:rPr>
        <w:t xml:space="preserve"> </w:t>
      </w:r>
      <w:proofErr w:type="spellStart"/>
      <w:r>
        <w:rPr>
          <w:rFonts w:ascii="Calibri" w:hAnsi="Calibri"/>
          <w:sz w:val="18"/>
          <w:szCs w:val="18"/>
        </w:rPr>
        <w:t>rendszer</w:t>
      </w:r>
      <w:proofErr w:type="spellEnd"/>
      <w:r>
        <w:rPr>
          <w:rFonts w:ascii="Calibri" w:hAnsi="Calibri"/>
          <w:sz w:val="18"/>
          <w:szCs w:val="18"/>
        </w:rPr>
        <w:t xml:space="preserve"> </w:t>
      </w:r>
      <w:proofErr w:type="spellStart"/>
      <w:r>
        <w:rPr>
          <w:rFonts w:ascii="Calibri" w:hAnsi="Calibri"/>
          <w:sz w:val="18"/>
          <w:szCs w:val="18"/>
        </w:rPr>
        <w:t>fejlesztés</w:t>
      </w:r>
      <w:proofErr w:type="spellEnd"/>
      <w:r>
        <w:rPr>
          <w:rFonts w:ascii="Calibri" w:hAnsi="Calibri"/>
          <w:sz w:val="18"/>
          <w:szCs w:val="18"/>
        </w:rPr>
        <w:t xml:space="preserve"> </w:t>
      </w:r>
      <w:proofErr w:type="spellStart"/>
      <w:r>
        <w:rPr>
          <w:rFonts w:ascii="Calibri" w:hAnsi="Calibri"/>
          <w:sz w:val="18"/>
          <w:szCs w:val="18"/>
        </w:rPr>
        <w:t>audit</w:t>
      </w:r>
      <w:proofErr w:type="spellEnd"/>
      <w:r>
        <w:rPr>
          <w:rFonts w:ascii="Calibri" w:hAnsi="Calibri"/>
          <w:sz w:val="18"/>
          <w:szCs w:val="18"/>
        </w:rPr>
        <w:t xml:space="preserve"> KTME </w:t>
      </w:r>
      <w:proofErr w:type="spellStart"/>
      <w:r>
        <w:rPr>
          <w:rFonts w:ascii="Calibri" w:hAnsi="Calibri"/>
          <w:sz w:val="18"/>
          <w:szCs w:val="18"/>
        </w:rPr>
        <w:t>vezető</w:t>
      </w:r>
      <w:proofErr w:type="spellEnd"/>
    </w:p>
  </w:footnote>
  <w:footnote w:id="4">
    <w:p>
      <w:pPr>
        <w:pStyle w:val="Lbjegyzetszveg"/>
        <w:spacing w:before="0"/>
        <w:rPr>
          <w:lang w:val="en-US"/>
        </w:rPr>
      </w:pPr>
      <w:r>
        <w:rPr>
          <w:rStyle w:val="Lbjegyzet-hivatkozs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/>
          <w:sz w:val="18"/>
          <w:szCs w:val="18"/>
          <w:lang w:val="en-US"/>
        </w:rPr>
        <w:t>Energiagazdálkodási</w:t>
      </w:r>
      <w:proofErr w:type="spellEnd"/>
      <w:r>
        <w:rPr>
          <w:rFonts w:ascii="Calibri" w:hAnsi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/>
          <w:sz w:val="18"/>
          <w:szCs w:val="18"/>
          <w:lang w:val="en-US"/>
        </w:rPr>
        <w:t>szakmérnök</w:t>
      </w:r>
      <w:proofErr w:type="spellEnd"/>
      <w:r>
        <w:rPr>
          <w:rFonts w:ascii="Calibri" w:hAnsi="Calibri"/>
          <w:sz w:val="18"/>
          <w:szCs w:val="18"/>
          <w:lang w:val="en-US"/>
        </w:rPr>
        <w:t xml:space="preserve">, </w:t>
      </w:r>
      <w:r>
        <w:rPr>
          <w:rFonts w:ascii="Calibri" w:hAnsi="Calibri"/>
          <w:sz w:val="18"/>
          <w:szCs w:val="18"/>
          <w:lang w:val="hu-HU"/>
        </w:rPr>
        <w:t xml:space="preserve">EN ISO 50001:2011 </w:t>
      </w:r>
      <w:proofErr w:type="spellStart"/>
      <w:r>
        <w:rPr>
          <w:rFonts w:ascii="Calibri" w:hAnsi="Calibri"/>
          <w:sz w:val="18"/>
          <w:szCs w:val="18"/>
          <w:lang w:val="hu-HU"/>
        </w:rPr>
        <w:t>lead-auditor</w:t>
      </w:r>
      <w:proofErr w:type="spellEnd"/>
    </w:p>
  </w:footnote>
  <w:footnote w:id="5">
    <w:p>
      <w:pPr>
        <w:pStyle w:val="Lbjegyzetszveg"/>
        <w:spacing w:before="0"/>
        <w:rPr>
          <w:lang w:val="en-US"/>
        </w:rPr>
      </w:pPr>
      <w:r>
        <w:rPr>
          <w:rStyle w:val="Lbjegyzet-hivatkozs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  <w:lang w:val="en-US"/>
        </w:rPr>
        <w:t xml:space="preserve"> </w:t>
      </w:r>
      <w:r>
        <w:rPr>
          <w:rFonts w:ascii="Calibri" w:hAnsi="Calibri"/>
          <w:sz w:val="18"/>
          <w:szCs w:val="18"/>
          <w:lang w:val="hu-HU"/>
        </w:rPr>
        <w:t>DQS Hungary Tanúsító és Hitelesítő Kft., 2015.11.24 – 26.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F0B9E"/>
    <w:multiLevelType w:val="hybridMultilevel"/>
    <w:tmpl w:val="08E46474"/>
    <w:lvl w:ilvl="0" w:tplc="040E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63F97"/>
    <w:multiLevelType w:val="hybridMultilevel"/>
    <w:tmpl w:val="961AE0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5A19DF"/>
    <w:multiLevelType w:val="multilevel"/>
    <w:tmpl w:val="04070025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Cmsor2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3">
    <w:nsid w:val="4C8837A8"/>
    <w:multiLevelType w:val="hybridMultilevel"/>
    <w:tmpl w:val="DF2AFE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4B7455"/>
    <w:multiLevelType w:val="hybridMultilevel"/>
    <w:tmpl w:val="87A0A2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4"/>
  </w:num>
  <w:num w:numId="11">
    <w:abstractNumId w:val="3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spacing w:before="60"/>
      <w:jc w:val="both"/>
      <w:textAlignment w:val="baseline"/>
    </w:pPr>
    <w:rPr>
      <w:rFonts w:ascii="Arial" w:hAnsi="Arial"/>
      <w:sz w:val="20"/>
      <w:szCs w:val="20"/>
      <w:lang w:val="de-DE" w:eastAsia="ja-JP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numPr>
        <w:numId w:val="9"/>
      </w:numPr>
      <w:spacing w:before="240" w:after="60"/>
      <w:jc w:val="left"/>
      <w:outlineLvl w:val="0"/>
    </w:pPr>
    <w:rPr>
      <w:rFonts w:eastAsia="MS Mincho" w:cs="Arial"/>
      <w:b/>
      <w:bCs/>
      <w:kern w:val="32"/>
      <w:sz w:val="24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pPr>
      <w:framePr w:wrap="around" w:vAnchor="text" w:hAnchor="text" w:y="1"/>
      <w:numPr>
        <w:ilvl w:val="1"/>
        <w:numId w:val="9"/>
      </w:numPr>
      <w:spacing w:before="240" w:after="60"/>
      <w:jc w:val="left"/>
      <w:outlineLvl w:val="1"/>
    </w:pPr>
    <w:rPr>
      <w:b/>
      <w:iCs/>
      <w:sz w:val="24"/>
      <w:szCs w:val="28"/>
    </w:rPr>
  </w:style>
  <w:style w:type="paragraph" w:styleId="Cmsor3">
    <w:name w:val="heading 3"/>
    <w:basedOn w:val="Norml"/>
    <w:next w:val="Norml"/>
    <w:link w:val="Cmsor3Char"/>
    <w:autoRedefine/>
    <w:uiPriority w:val="99"/>
    <w:qFormat/>
    <w:pPr>
      <w:keepNext/>
      <w:numPr>
        <w:ilvl w:val="2"/>
        <w:numId w:val="9"/>
      </w:numPr>
      <w:spacing w:before="240" w:after="60"/>
      <w:outlineLvl w:val="2"/>
    </w:pPr>
    <w:rPr>
      <w:rFonts w:eastAsia="MS Mincho" w:cs="Arial"/>
      <w:b/>
      <w:bCs/>
      <w:noProof/>
      <w:szCs w:val="26"/>
      <w:lang w:val="en-US" w:eastAsia="de-DE"/>
    </w:rPr>
  </w:style>
  <w:style w:type="paragraph" w:styleId="Cmsor4">
    <w:name w:val="heading 4"/>
    <w:basedOn w:val="Norml"/>
    <w:next w:val="Norml"/>
    <w:link w:val="Cmsor4Char"/>
    <w:autoRedefine/>
    <w:uiPriority w:val="99"/>
    <w:qFormat/>
    <w:pPr>
      <w:keepNext/>
      <w:numPr>
        <w:ilvl w:val="3"/>
        <w:numId w:val="9"/>
      </w:numPr>
      <w:spacing w:before="240" w:after="60"/>
      <w:outlineLvl w:val="3"/>
    </w:pPr>
    <w:rPr>
      <w:rFonts w:cs="Arial"/>
      <w:b/>
      <w:kern w:val="32"/>
      <w:sz w:val="24"/>
      <w:szCs w:val="28"/>
    </w:rPr>
  </w:style>
  <w:style w:type="paragraph" w:styleId="Cmsor5">
    <w:name w:val="heading 5"/>
    <w:basedOn w:val="Norml"/>
    <w:next w:val="Norml"/>
    <w:link w:val="Cmsor5Char"/>
    <w:autoRedefine/>
    <w:uiPriority w:val="99"/>
    <w:qFormat/>
    <w:pPr>
      <w:numPr>
        <w:ilvl w:val="4"/>
        <w:numId w:val="9"/>
      </w:numPr>
      <w:spacing w:before="240" w:after="60"/>
      <w:outlineLvl w:val="4"/>
    </w:pPr>
    <w:rPr>
      <w:b/>
      <w:bCs/>
      <w:iCs/>
      <w:sz w:val="24"/>
      <w:szCs w:val="26"/>
    </w:rPr>
  </w:style>
  <w:style w:type="paragraph" w:styleId="Cmsor6">
    <w:name w:val="heading 6"/>
    <w:basedOn w:val="Norml"/>
    <w:next w:val="Norml"/>
    <w:link w:val="Cmsor6Char"/>
    <w:autoRedefine/>
    <w:uiPriority w:val="99"/>
    <w:qFormat/>
    <w:pPr>
      <w:numPr>
        <w:ilvl w:val="5"/>
        <w:numId w:val="9"/>
      </w:numPr>
      <w:spacing w:before="240" w:after="60"/>
      <w:outlineLvl w:val="5"/>
    </w:pPr>
    <w:rPr>
      <w:b/>
      <w:bCs/>
      <w:sz w:val="24"/>
      <w:szCs w:val="22"/>
    </w:rPr>
  </w:style>
  <w:style w:type="paragraph" w:styleId="Cmsor7">
    <w:name w:val="heading 7"/>
    <w:basedOn w:val="Norml"/>
    <w:next w:val="Norml"/>
    <w:link w:val="Cmsor7Char"/>
    <w:autoRedefine/>
    <w:uiPriority w:val="99"/>
    <w:qFormat/>
    <w:pPr>
      <w:numPr>
        <w:ilvl w:val="6"/>
        <w:numId w:val="9"/>
      </w:numPr>
      <w:spacing w:before="240" w:after="60"/>
      <w:outlineLvl w:val="6"/>
    </w:pPr>
    <w:rPr>
      <w:b/>
      <w:sz w:val="24"/>
      <w:szCs w:val="24"/>
    </w:rPr>
  </w:style>
  <w:style w:type="paragraph" w:styleId="Cmsor8">
    <w:name w:val="heading 8"/>
    <w:basedOn w:val="Norml"/>
    <w:next w:val="Norml"/>
    <w:link w:val="Cmsor8Char"/>
    <w:autoRedefine/>
    <w:uiPriority w:val="99"/>
    <w:qFormat/>
    <w:pPr>
      <w:numPr>
        <w:ilvl w:val="7"/>
        <w:numId w:val="9"/>
      </w:numPr>
      <w:spacing w:before="240" w:after="60"/>
      <w:outlineLvl w:val="7"/>
    </w:pPr>
    <w:rPr>
      <w:b/>
      <w:iCs/>
      <w:sz w:val="24"/>
      <w:szCs w:val="24"/>
    </w:rPr>
  </w:style>
  <w:style w:type="paragraph" w:styleId="Cmsor9">
    <w:name w:val="heading 9"/>
    <w:basedOn w:val="Norml"/>
    <w:next w:val="Norml"/>
    <w:link w:val="Cmsor9Char"/>
    <w:autoRedefine/>
    <w:uiPriority w:val="99"/>
    <w:qFormat/>
    <w:pPr>
      <w:numPr>
        <w:ilvl w:val="8"/>
        <w:numId w:val="9"/>
      </w:numPr>
      <w:spacing w:before="240" w:after="60"/>
      <w:outlineLvl w:val="8"/>
    </w:pPr>
    <w:rPr>
      <w:rFonts w:cs="Arial"/>
      <w:b/>
      <w:sz w:val="24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character" w:customStyle="1" w:styleId="Cmsor2Char">
    <w:name w:val="Címsor 2 Char"/>
    <w:basedOn w:val="Bekezdsalapbettpusa"/>
    <w:link w:val="Cmsor2"/>
    <w:uiPriority w:val="99"/>
    <w:locked/>
    <w:rPr>
      <w:rFonts w:ascii="Arial" w:hAnsi="Arial" w:cs="Times New Roman"/>
      <w:b/>
      <w:iCs/>
      <w:sz w:val="28"/>
      <w:szCs w:val="28"/>
      <w:lang w:eastAsia="ja-JP"/>
    </w:rPr>
  </w:style>
  <w:style w:type="character" w:customStyle="1" w:styleId="Cmsor3Char">
    <w:name w:val="Címsor 3 Char"/>
    <w:basedOn w:val="Bekezdsalapbettpusa"/>
    <w:link w:val="Cmsor3"/>
    <w:uiPriority w:val="99"/>
    <w:locked/>
    <w:rPr>
      <w:rFonts w:ascii="Arial" w:eastAsia="MS Mincho" w:hAnsi="Arial" w:cs="Arial"/>
      <w:b/>
      <w:bCs/>
      <w:noProof/>
      <w:sz w:val="26"/>
      <w:szCs w:val="26"/>
      <w:lang w:val="en-US"/>
    </w:rPr>
  </w:style>
  <w:style w:type="character" w:customStyle="1" w:styleId="Cmsor4Char">
    <w:name w:val="Címsor 4 Char"/>
    <w:basedOn w:val="Bekezdsalapbettpusa"/>
    <w:link w:val="Cmsor4"/>
    <w:uiPriority w:val="99"/>
    <w:locked/>
    <w:rPr>
      <w:rFonts w:ascii="Arial" w:hAnsi="Arial" w:cs="Arial"/>
      <w:b/>
      <w:kern w:val="32"/>
      <w:sz w:val="28"/>
      <w:szCs w:val="28"/>
      <w:lang w:eastAsia="ja-JP"/>
    </w:rPr>
  </w:style>
  <w:style w:type="character" w:customStyle="1" w:styleId="Cmsor5Char">
    <w:name w:val="Címsor 5 Char"/>
    <w:basedOn w:val="Bekezdsalapbettpusa"/>
    <w:link w:val="Cmsor5"/>
    <w:uiPriority w:val="99"/>
    <w:locked/>
    <w:rPr>
      <w:rFonts w:ascii="Arial" w:hAnsi="Arial" w:cs="Times New Roman"/>
      <w:b/>
      <w:bCs/>
      <w:iCs/>
      <w:sz w:val="26"/>
      <w:szCs w:val="26"/>
      <w:lang w:eastAsia="ja-JP"/>
    </w:rPr>
  </w:style>
  <w:style w:type="character" w:customStyle="1" w:styleId="Cmsor6Char">
    <w:name w:val="Címsor 6 Char"/>
    <w:basedOn w:val="Bekezdsalapbettpusa"/>
    <w:link w:val="Cmsor6"/>
    <w:uiPriority w:val="99"/>
    <w:locked/>
    <w:rPr>
      <w:rFonts w:ascii="Arial" w:hAnsi="Arial" w:cs="Times New Roman"/>
      <w:b/>
      <w:bCs/>
      <w:sz w:val="22"/>
      <w:szCs w:val="22"/>
      <w:lang w:eastAsia="ja-JP"/>
    </w:rPr>
  </w:style>
  <w:style w:type="character" w:customStyle="1" w:styleId="Cmsor7Char">
    <w:name w:val="Címsor 7 Char"/>
    <w:basedOn w:val="Bekezdsalapbettpusa"/>
    <w:link w:val="Cmsor7"/>
    <w:uiPriority w:val="99"/>
    <w:locked/>
    <w:rPr>
      <w:rFonts w:ascii="Arial" w:hAnsi="Arial" w:cs="Times New Roman"/>
      <w:b/>
      <w:sz w:val="24"/>
      <w:szCs w:val="24"/>
      <w:lang w:eastAsia="ja-JP"/>
    </w:rPr>
  </w:style>
  <w:style w:type="character" w:customStyle="1" w:styleId="Cmsor8Char">
    <w:name w:val="Címsor 8 Char"/>
    <w:basedOn w:val="Bekezdsalapbettpusa"/>
    <w:link w:val="Cmsor8"/>
    <w:uiPriority w:val="99"/>
    <w:locked/>
    <w:rPr>
      <w:rFonts w:ascii="Arial" w:hAnsi="Arial" w:cs="Times New Roman"/>
      <w:b/>
      <w:iCs/>
      <w:sz w:val="24"/>
      <w:szCs w:val="24"/>
      <w:lang w:eastAsia="ja-JP"/>
    </w:rPr>
  </w:style>
  <w:style w:type="character" w:customStyle="1" w:styleId="Cmsor9Char">
    <w:name w:val="Címsor 9 Char"/>
    <w:basedOn w:val="Bekezdsalapbettpusa"/>
    <w:link w:val="Cmsor9"/>
    <w:uiPriority w:val="99"/>
    <w:locked/>
    <w:rPr>
      <w:rFonts w:ascii="Arial" w:hAnsi="Arial" w:cs="Arial"/>
      <w:b/>
      <w:sz w:val="22"/>
      <w:szCs w:val="22"/>
      <w:lang w:eastAsia="ja-JP"/>
    </w:rPr>
  </w:style>
  <w:style w:type="paragraph" w:styleId="Cm">
    <w:name w:val="Title"/>
    <w:basedOn w:val="Norml"/>
    <w:next w:val="Norml"/>
    <w:link w:val="CmChar"/>
    <w:uiPriority w:val="99"/>
    <w:qFormat/>
    <w:pPr>
      <w:spacing w:before="0" w:after="300"/>
      <w:contextualSpacing/>
    </w:pPr>
    <w:rPr>
      <w:b/>
      <w:spacing w:val="5"/>
      <w:kern w:val="28"/>
      <w:sz w:val="28"/>
      <w:szCs w:val="52"/>
    </w:rPr>
  </w:style>
  <w:style w:type="character" w:customStyle="1" w:styleId="CmChar">
    <w:name w:val="Cím Char"/>
    <w:basedOn w:val="Bekezdsalapbettpusa"/>
    <w:link w:val="Cm"/>
    <w:uiPriority w:val="99"/>
    <w:locked/>
    <w:rPr>
      <w:rFonts w:ascii="Arial" w:hAnsi="Arial" w:cs="Times New Roman"/>
      <w:b/>
      <w:spacing w:val="5"/>
      <w:kern w:val="28"/>
      <w:sz w:val="52"/>
      <w:szCs w:val="52"/>
      <w:lang w:eastAsia="ja-JP"/>
    </w:rPr>
  </w:style>
  <w:style w:type="paragraph" w:styleId="Alcm">
    <w:name w:val="Subtitle"/>
    <w:basedOn w:val="Norml"/>
    <w:next w:val="Norml"/>
    <w:link w:val="AlcmChar"/>
    <w:uiPriority w:val="99"/>
    <w:qFormat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99"/>
    <w:locked/>
    <w:rPr>
      <w:rFonts w:ascii="Cambria" w:hAnsi="Cambria" w:cs="Times New Roman"/>
      <w:i/>
      <w:iCs/>
      <w:color w:val="4F81BD"/>
      <w:spacing w:val="15"/>
      <w:sz w:val="24"/>
      <w:szCs w:val="24"/>
      <w:lang w:eastAsia="ja-JP"/>
    </w:rPr>
  </w:style>
  <w:style w:type="paragraph" w:styleId="Nincstrkz">
    <w:name w:val="No Spacing"/>
    <w:uiPriority w:val="99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  <w:lang w:val="de-DE" w:eastAsia="ja-JP"/>
    </w:rPr>
  </w:style>
  <w:style w:type="paragraph" w:styleId="Listaszerbekezds">
    <w:name w:val="List Paragraph"/>
    <w:basedOn w:val="Norml"/>
    <w:uiPriority w:val="99"/>
    <w:qFormat/>
    <w:pPr>
      <w:ind w:left="720"/>
      <w:contextualSpacing/>
    </w:pPr>
  </w:style>
  <w:style w:type="character" w:styleId="Finomkiemels">
    <w:name w:val="Subtle Emphasis"/>
    <w:basedOn w:val="Bekezdsalapbettpusa"/>
    <w:uiPriority w:val="99"/>
    <w:qFormat/>
    <w:rPr>
      <w:rFonts w:cs="Times New Roman"/>
      <w:i/>
      <w:iCs/>
      <w:color w:val="808080"/>
    </w:rPr>
  </w:style>
  <w:style w:type="paragraph" w:styleId="Tartalomjegyzkcmsora">
    <w:name w:val="TOC Heading"/>
    <w:basedOn w:val="Cmsor1"/>
    <w:next w:val="Norml"/>
    <w:uiPriority w:val="99"/>
    <w:qFormat/>
    <w:pPr>
      <w:keepLines/>
      <w:numPr>
        <w:numId w:val="0"/>
      </w:numPr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val="hu-HU" w:eastAsia="en-US"/>
    </w:rPr>
  </w:style>
  <w:style w:type="paragraph" w:styleId="Kpalrs">
    <w:name w:val="caption"/>
    <w:basedOn w:val="Norml"/>
    <w:next w:val="Norml"/>
    <w:uiPriority w:val="99"/>
    <w:qFormat/>
    <w:locked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Pr>
      <w:rFonts w:ascii="Arial" w:hAnsi="Arial"/>
      <w:sz w:val="20"/>
      <w:szCs w:val="20"/>
      <w:lang w:val="de-DE" w:eastAsia="ja-JP"/>
    </w:rPr>
  </w:style>
  <w:style w:type="character" w:styleId="Lbjegyzet-hivatkozs">
    <w:name w:val="footnote reference"/>
    <w:basedOn w:val="Bekezdsalapbettpusa"/>
    <w:uiPriority w:val="99"/>
    <w:semiHidden/>
    <w:rPr>
      <w:rFonts w:cs="Times New Roman"/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Tahoma" w:hAnsi="Tahoma" w:cs="Tahoma"/>
      <w:sz w:val="16"/>
      <w:szCs w:val="16"/>
      <w:lang w:val="de-DE" w:eastAsia="ja-JP"/>
    </w:rPr>
  </w:style>
  <w:style w:type="paragraph" w:styleId="lfej">
    <w:name w:val="header"/>
    <w:basedOn w:val="Norml"/>
    <w:link w:val="lfejChar"/>
    <w:uiPriority w:val="99"/>
    <w:semiHidden/>
    <w:unhideWhenUsed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semiHidden/>
    <w:rPr>
      <w:rFonts w:ascii="Arial" w:hAnsi="Arial"/>
      <w:sz w:val="20"/>
      <w:szCs w:val="20"/>
      <w:lang w:val="de-DE" w:eastAsia="ja-JP"/>
    </w:rPr>
  </w:style>
  <w:style w:type="paragraph" w:styleId="llb">
    <w:name w:val="footer"/>
    <w:basedOn w:val="Norml"/>
    <w:link w:val="llbChar"/>
    <w:uiPriority w:val="99"/>
    <w:semiHidden/>
    <w:unhideWhenUsed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semiHidden/>
    <w:rPr>
      <w:rFonts w:ascii="Arial" w:hAnsi="Arial"/>
      <w:sz w:val="20"/>
      <w:szCs w:val="20"/>
      <w:lang w:val="de-DE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807</Words>
  <Characters>6172</Characters>
  <Application>Microsoft Office Word</Application>
  <DocSecurity>0</DocSecurity>
  <Lines>51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KLENEN 2016 ,Continental Automotive Kft ISO 50001 bevezetése előadás vázlat</vt:lpstr>
    </vt:vector>
  </TitlesOfParts>
  <Company>Continental AG</Company>
  <LinksUpToDate>false</LinksUpToDate>
  <CharactersWithSpaces>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KLENEN 2016 ,Continental Automotive Kft ISO 50001 bevezetése előadás vázlat</dc:title>
  <dc:creator>DomokF</dc:creator>
  <cp:lastModifiedBy>DomokF</cp:lastModifiedBy>
  <cp:revision>3</cp:revision>
  <dcterms:created xsi:type="dcterms:W3CDTF">2016-02-25T12:35:00Z</dcterms:created>
  <dcterms:modified xsi:type="dcterms:W3CDTF">2016-02-26T09:06:00Z</dcterms:modified>
</cp:coreProperties>
</file>